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094CDB" Type="http://schemas.openxmlformats.org/officeDocument/2006/relationships/officeDocument" Target="/word/document.xml" /><Relationship Id="coreR2094CD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64:80:03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VALUATION OF STOCKS AND BONDS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(4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  <w:lang w:val="en-US" w:bidi="en-US" w:eastAsia="en-US"/>
        </w:rPr>
        <w:t xml:space="preserve"> SDR 66, effective No</w:t>
      </w:r>
      <w:r>
        <w:rPr>
          <w:rFonts w:ascii="Times New Roman" w:hAnsi="Times New Roman"/>
          <w:sz w:val="24"/>
          <w:lang w:val="en-US" w:bidi="en-US" w:eastAsia="en-US"/>
        </w:rPr>
        <w:t>vember 26, 2019)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64:80:03:01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64:80:03:02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64:80:03:03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64:80:03:04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016" w:left="20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64:80:03:05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64:80:03:06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64:80:03:07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>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64:80:03:08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64:80:03:09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2005-03-15T20:05:00Z</dcterms:created>
  <cp:lastModifiedBy>Rhonda Purkapile</cp:lastModifiedBy>
  <dcterms:modified xsi:type="dcterms:W3CDTF">2019-11-15T19:58:18Z</dcterms:modified>
  <cp:revision>3</cp:revision>
  <dc:title>CHAPTER 64:80:03</dc:title>
</cp:coreProperties>
</file>