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9BF29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67:16:42:13.  Claim requirements.</w:t>
      </w:r>
      <w:r>
        <w:rPr>
          <w:rFonts w:ascii="Times New Roman" w:hAnsi="Times New Roman"/>
          <w:sz w:val="24"/>
        </w:rPr>
        <w:t xml:space="preserve"> A claim for nutritional items and supplies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recipient's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The provider's usual and customary charge. The provider may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The applicable procedure codes for the items and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The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(9)  The provider's name and </w:t>
      </w:r>
      <w:r>
        <w:rPr>
          <w:rFonts w:ascii="Times New Roman" w:hAnsi="Times New Roman"/>
          <w:sz w:val="24"/>
          <w:lang w:val="en-US" w:bidi="en-US" w:eastAsia="en-US"/>
        </w:rPr>
        <w:t>National Provider Identification (NPI)</w:t>
      </w:r>
      <w:r>
        <w:rPr>
          <w:rFonts w:ascii="Times New Roman" w:hAnsi="Times New Roman"/>
          <w:sz w:val="24"/>
        </w:rPr>
        <w:t xml:space="preserve">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If applicable, the prior authorization number issued to the provider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 separate claim form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17 SDR 37, effective September 11, 1990; transferred from § 67:16:11:16, 22 SDR 32, effective September 11, 1995; 35 SDR 49, effective September 10, 2008</w:t>
      </w:r>
      <w:r>
        <w:rPr>
          <w:rFonts w:ascii="Times New Roman" w:hAnsi="Times New Roman"/>
          <w:sz w:val="24"/>
          <w:lang w:val="en-US" w:bidi="en-US" w:eastAsia="en-US"/>
        </w:rPr>
        <w:t>; 43 SDR 80, effective December 5,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Note:</w:t>
      </w:r>
      <w:r>
        <w:rPr>
          <w:rFonts w:ascii="Times New Roman" w:hAnsi="Times New Roman"/>
          <w:sz w:val="24"/>
        </w:rPr>
        <w:t xml:space="preserve"> The CMS 1500 form substantially meets the requirements of this rule and its content and appearance is acceptable.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