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67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62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GENERAL MANAGEMENT REQUIREMENTS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67:62:05:01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Policy</w:t>
      </w:r>
      <w:r>
        <w:rPr>
          <w:rFonts w:ascii="Times New Roman" w:hAnsi="Times New Roman"/>
          <w:sz w:val="24"/>
        </w:rPr>
        <w:t xml:space="preserve"> and procedures manual.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67:62:05:02</w:t>
        <w:tab/>
        <w:tab/>
        <w:t>Statistical data.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67:62:05:03</w:t>
        <w:tab/>
        <w:tab/>
        <w:t>Compliance -- Case record review.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67:62:05:04</w:t>
        <w:tab/>
        <w:tab/>
        <w:t>Retention of records.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67:62:05:05</w:t>
        <w:tab/>
        <w:tab/>
        <w:t>Accounting system, cost reporting, and annual audit.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67:62:05:06</w:t>
        <w:tab/>
        <w:tab/>
        <w:t>Fees for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67:62:05:07</w:t>
        <w:tab/>
        <w:tab/>
        <w:t>Client orientation.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67:62:05:08</w:t>
        <w:tab/>
        <w:tab/>
        <w:t>Participation in state plan.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2023-11-27T01:56:18Z</dcterms:created>
  <cp:lastModifiedBy>Kelly Thompson</cp:lastModifiedBy>
  <dcterms:modified xsi:type="dcterms:W3CDTF">2023-11-27T01:56:39Z</dcterms:modified>
  <cp:revision>2</cp:revision>
</cp:coreProperties>
</file>