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67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PREADMISSION SCREENING AND RESIDENT REVIEW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67:62:15:01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67:62:15:02</w:t>
        <w:tab/>
        <w:tab/>
        <w:t>Level I screening.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67:62:15:03</w:t>
        <w:tab/>
        <w:tab/>
        <w:t>Level II review exemptions.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67:62:15:04</w:t>
        <w:tab/>
        <w:tab/>
        <w:t>Exempt hospital discharge.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67:62:15:05</w:t>
        <w:tab/>
        <w:tab/>
        <w:t>Categorical determinations for Level I.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67:62:15:06</w:t>
        <w:tab/>
        <w:tab/>
        <w:t>Level II review.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67:62:15:07</w:t>
        <w:tab/>
        <w:tab/>
        <w:t>Level II determination -- Data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67:62:15:08</w:t>
        <w:tab/>
        <w:tab/>
        <w:t>Determination of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67:62:15:09</w:t>
        <w:tab/>
        <w:tab/>
        <w:t>Determination of specialized mental health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67:62:15:10</w:t>
        <w:tab/>
        <w:tab/>
        <w:t>Timeliness of determinations of Level II review.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67:62:15:11</w:t>
        <w:tab/>
        <w:tab/>
        <w:t>Notification of Level II determination.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67:62:15:12</w:t>
        <w:tab/>
        <w:tab/>
        <w:t>Determination may not be countermanded.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67:62:15:13</w:t>
        <w:tab/>
        <w:tab/>
        <w:t>Appeal of ineligibility of Level II determination.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67:62:15:14</w:t>
        <w:tab/>
        <w:tab/>
        <w:t>Length of stay.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980" w:left="19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67:62:15:15</w:t>
        <w:tab/>
        <w:tab/>
        <w:t>Individuals not requiring swing bed or nursing facility services but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requiring mental health services -- 30 month determination.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67:62:15:16</w:t>
        <w:tab/>
        <w:tab/>
        <w:t>Significant change.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67:62:15:17</w:t>
        <w:tab/>
        <w:tab/>
        <w:t>New admission and readmission.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67:62:15:18</w:t>
        <w:tab/>
        <w:tab/>
        <w:t>Interfacility transfers.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67:62:15:19</w:t>
        <w:tab/>
        <w:tab/>
        <w:t>Out of state placement.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2023-11-27T02:02:54Z</dcterms:created>
  <cp:lastModifiedBy>Kelly Thompson</cp:lastModifiedBy>
  <dcterms:modified xsi:type="dcterms:W3CDTF">2023-11-27T02:03:24Z</dcterms:modified>
  <cp:revision>1</cp:revision>
</cp:coreProperties>
</file>