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TITLE 71</w:t>
      </w: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 OF VOCATIONAL REHABILITATION</w:t>
      </w: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provisions, Transferred to Article 46:30.</w:t>
      </w: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Services, Transferred to Article 46:30.</w:t>
      </w: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Processing of applications, Transferred to Article 46:30.</w:t>
      </w:r>
    </w:p>
    <w:p w:rsidR="001762F0" w:rsidRDefault="00176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procedures, Transferred to Article 46:31.</w:t>
      </w:r>
    </w:p>
    <w:sectPr w:rsidR="001762F0" w:rsidSect="001762F0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2F0"/>
    <w:rsid w:val="0017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F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71</dc:title>
  <dc:subject/>
  <dc:creator>Legislative Research Council</dc:creator>
  <cp:keywords/>
  <dc:description/>
  <cp:lastModifiedBy>lrpr14296</cp:lastModifiedBy>
  <cp:revision>2</cp:revision>
  <dcterms:created xsi:type="dcterms:W3CDTF">2004-11-05T14:48:00Z</dcterms:created>
  <dcterms:modified xsi:type="dcterms:W3CDTF">2004-11-05T14:48:00Z</dcterms:modified>
</cp:coreProperties>
</file>