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499" w:rsidRDefault="00D55499" w:rsidP="00633AA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74:09:01:12.  Subpoenas.</w:t>
      </w:r>
      <w:r>
        <w:rPr>
          <w:rFonts w:ascii="Times New Roman" w:hAnsi="Times New Roman"/>
          <w:sz w:val="24"/>
        </w:rPr>
        <w:t xml:space="preserve"> The chair of the hearing may issue any subpoena necessary for the conduct of any prehearing discovery or the hearing in accordance with the rules of civil procedure. Any party wishing to obtain a subpoena from the chair of the hearing shall submit a written request and a proposed subpoena to the chair of the hearing.</w:t>
      </w:r>
    </w:p>
    <w:p w:rsidR="00D55499" w:rsidRDefault="00D55499" w:rsidP="00633AA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55499" w:rsidRDefault="00D55499" w:rsidP="00633AA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14 SDR 50, effective </w:t>
      </w:r>
      <w:smartTag w:uri="urn:schemas-microsoft-com:office:smarttags" w:element="date">
        <w:smartTagPr>
          <w:attr w:name="Year" w:val="1987"/>
          <w:attr w:name="Day" w:val="4"/>
          <w:attr w:name="Month" w:val="10"/>
        </w:smartTagPr>
        <w:r>
          <w:rPr>
            <w:rFonts w:ascii="Times New Roman" w:hAnsi="Times New Roman"/>
            <w:sz w:val="24"/>
          </w:rPr>
          <w:t>October 4, 1987</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w:t>
      </w:r>
    </w:p>
    <w:p w:rsidR="00D55499" w:rsidRDefault="00D55499" w:rsidP="00633AA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34A-1-6, 34A-6-1.6, 34A-6-1.14, 34A-11-9, 45-9-13.</w:t>
      </w:r>
    </w:p>
    <w:p w:rsidR="00D55499" w:rsidRDefault="00D55499" w:rsidP="00633AA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1-26-19.1, 34A-1-43.</w:t>
      </w:r>
    </w:p>
    <w:p w:rsidR="00D55499" w:rsidRDefault="00D55499" w:rsidP="00633AA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55499" w:rsidRDefault="00D55499" w:rsidP="00633AA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Rules of civil procedure, SDCL chapter 15-6.</w:t>
      </w:r>
    </w:p>
    <w:p w:rsidR="00D55499" w:rsidRDefault="00D55499" w:rsidP="00633AA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sectPr w:rsidR="00D55499" w:rsidSect="00D5549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3AA5"/>
    <w:rsid w:val="00635726"/>
    <w:rsid w:val="00707299"/>
    <w:rsid w:val="0074209C"/>
    <w:rsid w:val="00770350"/>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5499"/>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AA5"/>
    <w:pPr>
      <w:widowControl w:val="0"/>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92</Words>
  <Characters>526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2005-04-04T20:12:00Z</dcterms:created>
  <dcterms:modified xsi:type="dcterms:W3CDTF">2005-04-04T20:12:00Z</dcterms:modified>
</cp:coreProperties>
</file>