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74:28:32</w:t>
      </w: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TOXIC CLEANUP DAY</w:t>
      </w: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(Executed)</w:t>
      </w: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Editor's Note:</w:t>
      </w:r>
      <w:r>
        <w:rPr>
          <w:rFonts w:ascii="Times New Roman" w:hAnsi="Times New Roman"/>
          <w:sz w:val="24"/>
        </w:rPr>
        <w:t xml:space="preserve"> The Legislative Research Council deleted the rules in this chapter as executed provisions following the report to the Legislature in January, 1992, required by the underlying statute, SDCL 34A-11-4.1.</w:t>
      </w:r>
    </w:p>
    <w:p w:rsidR="00092F38" w:rsidRDefault="00092F38" w:rsidP="008271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092F38" w:rsidSect="00092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92F38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2712B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74:28:32</dc:title>
  <dc:subject/>
  <dc:creator>lrpr14296</dc:creator>
  <cp:keywords/>
  <dc:description/>
  <cp:lastModifiedBy>lrpr14296</cp:lastModifiedBy>
  <cp:revision>1</cp:revision>
  <dcterms:created xsi:type="dcterms:W3CDTF">2005-04-15T16:12:00Z</dcterms:created>
  <dcterms:modified xsi:type="dcterms:W3CDTF">2005-04-15T16:12:00Z</dcterms:modified>
</cp:coreProperties>
</file>