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74:51:01:23.  Bioassay methods.</w:t>
      </w:r>
      <w:r>
        <w:rPr>
          <w:szCs w:val="20"/>
        </w:rPr>
        <w:t xml:space="preserve"> The toxicity of pollutants to aquatic life </w:t>
      </w:r>
      <w:r>
        <w:rPr>
          <w:szCs w:val="20"/>
          <w:lang w:val="en-US" w:bidi="en-US" w:eastAsia="en-US"/>
        </w:rPr>
        <w:t>must</w:t>
      </w:r>
      <w:r>
        <w:rPr>
          <w:szCs w:val="20"/>
        </w:rPr>
        <w:t xml:space="preserve"> be based on bioassays which determine concentrations of a substance </w:t>
      </w:r>
      <w:r>
        <w:rPr>
          <w:szCs w:val="20"/>
          <w:lang w:val="en-US" w:bidi="en-US" w:eastAsia="en-US"/>
        </w:rPr>
        <w:t>that</w:t>
      </w:r>
      <w:r>
        <w:rPr>
          <w:szCs w:val="20"/>
        </w:rPr>
        <w:t xml:space="preserve"> at a defined period of exposure are toxic to aquatic life. Toxicity tests </w:t>
      </w:r>
      <w:r>
        <w:rPr>
          <w:szCs w:val="20"/>
          <w:lang w:val="en-US" w:bidi="en-US" w:eastAsia="en-US"/>
        </w:rPr>
        <w:t>must</w:t>
      </w:r>
      <w:r>
        <w:rPr>
          <w:szCs w:val="20"/>
        </w:rPr>
        <w:t xml:space="preserve"> simulate expected receiving water conditions. Tests </w:t>
      </w:r>
      <w:r>
        <w:rPr>
          <w:szCs w:val="20"/>
          <w:lang w:val="en-US" w:bidi="en-US" w:eastAsia="en-US"/>
        </w:rPr>
        <w:t>must</w:t>
      </w:r>
      <w:r>
        <w:rPr>
          <w:szCs w:val="20"/>
        </w:rPr>
        <w:t xml:space="preserve"> be conducted according to test procedures approved or methods given in the references listed in 40 C.F.R. Part 136 (July 1, 20</w:t>
      </w:r>
      <w:r>
        <w:rPr>
          <w:szCs w:val="20"/>
          <w:lang w:val="en-US" w:bidi="en-US" w:eastAsia="en-US"/>
        </w:rPr>
        <w:t>20</w:t>
      </w:r>
      <w:r>
        <w:rPr>
          <w:szCs w:val="20"/>
        </w:rPr>
        <w:t>)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>The term, acute, means a stimulus severe enough to rapidly induce an effect. In aquatic toxicity tests, a deleterious response (e.g., mortality, disorientation, immobilization) to a stimulus observed in 96 hours or less is considered acute. When referring to aquatic toxicology or human health, an acute effect is not always measured in terms of lethality.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  <w:t>The term, chronic, means a stimulus of the lowest concentration of a constituent causing observable effects. In aquatic toxicity tests, observable effects may include lethality, reduced growth, or reduced reproduction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Source:</w:t>
      </w:r>
      <w:r>
        <w:rPr>
          <w:szCs w:val="20"/>
        </w:rPr>
        <w:t xml:space="preserve"> SL 1975, ch 16, § 1; 4 SDR 32, effective December 4, 1977; transferred from § 34:04:02:06, effective July 1, 1979; 10 SDR 145, effective July 4, 1984; 13 SDR 129, 13 SDR 141, effective July 1, 1987; 14 SDR 86, effective December 24, 1987; 19 SDR 111, effective January 31, 1993; transferred from § 74:03:02:06, July 1, 1996; 24 SDR 10, effective July 20, 1997; 35 SDR 253, effective May 12, 2009; 41 SDR 109, effective January 12, 2015</w:t>
      </w:r>
      <w:r>
        <w:rPr>
          <w:rFonts w:ascii="Times New Roman" w:hAnsi="Times New Roman"/>
          <w:sz w:val="24"/>
          <w:lang w:val="en-US" w:bidi="en-US" w:eastAsia="en-US"/>
        </w:rPr>
        <w:t>; 47 SDR 110, effective April 27, 2021</w:t>
      </w:r>
      <w:r>
        <w:rPr>
          <w:szCs w:val="20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General Authority:</w:t>
      </w:r>
      <w:r>
        <w:rPr>
          <w:szCs w:val="20"/>
        </w:rPr>
        <w:t xml:space="preserve"> SDCL </w:t>
      </w:r>
      <w:r>
        <w:rPr>
          <w:szCs w:val="20"/>
          <w:lang w:val="en-US" w:bidi="en-US" w:eastAsia="en-US"/>
        </w:rPr>
        <w:t xml:space="preserve">34A-2-10, </w:t>
      </w:r>
      <w:r>
        <w:rPr>
          <w:szCs w:val="20"/>
        </w:rPr>
        <w:t>34A-2-11, 34A-2-93.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  <w:r>
        <w:rPr>
          <w:szCs w:val="20"/>
        </w:rPr>
        <w:tab/>
      </w:r>
      <w:r>
        <w:rPr>
          <w:b w:val="1"/>
          <w:szCs w:val="20"/>
        </w:rPr>
        <w:t>Law Implemented:</w:t>
      </w:r>
      <w:r>
        <w:rPr>
          <w:szCs w:val="20"/>
        </w:rPr>
        <w:t xml:space="preserve"> SDCL 34A-2-10, 34A-2-11.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rPr>
          <w:szCs w:val="20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2015-01-12T18:30:00Z</dcterms:created>
  <cp:lastModifiedBy>Rhonda Purkapile</cp:lastModifiedBy>
  <dcterms:modified xsi:type="dcterms:W3CDTF">2021-04-21T14:13:37Z</dcterms:modified>
  <cp:revision>3</cp:revision>
</cp:coreProperties>
</file>