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5B" w:rsidRDefault="0057575B" w:rsidP="009F1B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74:51:01:25.01.  Application of criteria to protect attainable beneficial use.</w:t>
      </w:r>
      <w:r>
        <w:rPr>
          <w:rFonts w:ascii="Times New Roman" w:hAnsi="Times New Roman"/>
          <w:sz w:val="24"/>
        </w:rPr>
        <w:t xml:space="preserve"> If the secretary determines that a water body is supporting a higher existing beneficial use than is currently designated for that water body, the secretary may apply the criteria found in §§ 74:51:01:31, 74:51:01:32, and 74:51:01:44 to 74:51:01:55, inclusive, that are necessary to protect that higher attainable beneficial use. In any case, for all waters that remain Class 9 following analysis or which are designated as Class 9, the secretary may apply the provisions of § 74:51:01:55 in controlling the discharge or presence of pollutants which could reasonably be expected to interfere with the uses included in Class 9 and as necessary to support those uses.</w:t>
      </w:r>
    </w:p>
    <w:p w:rsidR="0057575B" w:rsidRDefault="0057575B" w:rsidP="009F1B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75B" w:rsidRDefault="0057575B" w:rsidP="009F1B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98, effective </w:t>
      </w:r>
      <w:smartTag w:uri="urn:schemas-microsoft-com:office:smarttags" w:element="date">
        <w:smartTagPr>
          <w:attr w:name="Year" w:val="1999"/>
          <w:attr w:name="Day" w:val="27"/>
          <w:attr w:name="Month" w:val="1"/>
        </w:smartTagPr>
        <w:r>
          <w:rPr>
            <w:rFonts w:ascii="Times New Roman" w:hAnsi="Times New Roman"/>
            <w:sz w:val="24"/>
          </w:rPr>
          <w:t>January 27, 1999</w:t>
        </w:r>
      </w:smartTag>
      <w:r>
        <w:rPr>
          <w:rFonts w:ascii="Times New Roman" w:hAnsi="Times New Roman"/>
          <w:sz w:val="24"/>
        </w:rPr>
        <w:t>.</w:t>
      </w:r>
    </w:p>
    <w:p w:rsidR="0057575B" w:rsidRDefault="0057575B" w:rsidP="009F1B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34A-2-10, 34A-2-11, 34A-2-93.</w:t>
      </w:r>
    </w:p>
    <w:p w:rsidR="0057575B" w:rsidRDefault="0057575B" w:rsidP="009F1B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34A-2-11, 34A-2-93.</w:t>
      </w:r>
    </w:p>
    <w:p w:rsidR="0057575B" w:rsidRDefault="0057575B" w:rsidP="009F1B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575B" w:rsidSect="005757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7575B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9F1B33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2005-04-18T17:39:00Z</dcterms:created>
  <dcterms:modified xsi:type="dcterms:W3CDTF">2005-04-18T17:39:00Z</dcterms:modified>
</cp:coreProperties>
</file>