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ACCE0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74:52:02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APPLICATION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74:52:02:02</w:t>
        <w:tab/>
        <w:tab/>
        <w:t>Correlation between state and EPA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74:52:02:03</w:t>
        <w:tab/>
        <w:tab/>
        <w:t>Time to apply for new facilities.</w:t>
      </w:r>
    </w:p>
    <w:p>
      <w:pPr>
        <w:pStyle w:val="P1"/>
        <w:ind w:hanging="1620" w:left="1620"/>
      </w:pPr>
      <w:r>
        <w:t>74:52:02:04</w:t>
        <w:tab/>
        <w:tab/>
        <w:t>Time to reapply for dischargers with currently effective EPA-issued NPDES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74:52:02:05</w:t>
        <w:tab/>
        <w:tab/>
        <w:t>SWD permit renewals.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74:52:02:06</w:t>
        <w:tab/>
        <w:tab/>
        <w:t>Continuation of expired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74:52:02:07</w:t>
        <w:tab/>
        <w:tab/>
        <w:t>Review of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74:52:02:08</w:t>
        <w:tab/>
        <w:tab/>
        <w:t>Information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74:52:02:09</w:t>
        <w:tab/>
        <w:tab/>
        <w:t>Application requirements for new sources and new discharges.</w:t>
      </w:r>
    </w:p>
    <w:p>
      <w:pPr>
        <w:pStyle w:val="P1"/>
        <w:ind w:hanging="1620" w:left="1620"/>
      </w:pPr>
      <w:r>
        <w:t>74:52:02:10</w:t>
        <w:tab/>
        <w:tab/>
        <w:t>Application requirements for existing manufacturing, commercial, mining, and silvicultural dischargers.</w:t>
      </w:r>
    </w:p>
    <w:p>
      <w:pPr>
        <w:pStyle w:val="P1"/>
        <w:ind w:hanging="1620" w:left="1620"/>
      </w:pPr>
      <w:r>
        <w:t>74:52:02:11</w:t>
        <w:tab/>
        <w:tab/>
        <w:t>Application requirements for manufacturing, commercial, mining, and silvicultural facilities which discharge only nonprocess wastewater.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74:52:02:12</w:t>
        <w:tab/>
        <w:tab/>
        <w:t>Additional requirements for new dischargers.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74:52:02:13</w:t>
        <w:tab/>
        <w:tab/>
        <w:t>Application requirements for whole effluent biological toxicity testing by POTWs.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74:52:02:14</w:t>
        <w:tab/>
        <w:tab/>
        <w:t>Application requirements for POTWs with approved pretreatment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74:52:02:14.01</w:t>
        <w:tab/>
        <w:t>Application requirements for treatment works treating domestic sewage.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74:52:02:15</w:t>
        <w:tab/>
        <w:tab/>
        <w:t>Recordkeeping.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74:52:02:16</w:t>
        <w:tab/>
        <w:tab/>
        <w:t>Service of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74:52:02:17</w:t>
        <w:tab/>
        <w:tab/>
        <w:t>Confidentiality of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74:52:02:18</w:t>
        <w:tab/>
        <w:tab/>
        <w:t>Signatory requirements for permit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74:52:02:19</w:t>
        <w:tab/>
        <w:tab/>
        <w:t>Signatory requirements for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74:52:02:20</w:t>
        <w:tab/>
        <w:tab/>
        <w:t>Changes to signatory authorization.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74:52:02:21</w:t>
        <w:tab/>
        <w:tab/>
        <w:t>Certification of documents.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74:52:02:22</w:t>
        <w:tab/>
        <w:tab/>
        <w:t>Additional requirements for concentrated animal feeding operations.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74:52:02:23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74:52:02:24</w:t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74:52:02:25</w:t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74:52:02:26</w:t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74:52:02:27</w:t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74:52:02:28</w:t>
        <w:tab/>
        <w:tab/>
        <w:t>Application requirements for new and existing concentrated animal feeding operations.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74:52:02:30</w:t>
        <w:tab/>
        <w:tab/>
        <w:t>Permit requirements for the land application of manure, litter, and process wastewater.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74:52:02:31</w:t>
        <w:tab/>
        <w:tab/>
        <w:t>Definitions applicable to concentrated aquatic animal production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74:52:02:32</w:t>
        <w:tab/>
        <w:tab/>
        <w:t>Designation of small aquatic animal production facility as concentrated aquatic animal production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74:52:02:33</w:t>
        <w:tab/>
        <w:tab/>
        <w:t>Inspection of small aquatic animal production facilities required before subjecting to SWD regulations.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74:52:02:34</w:t>
        <w:tab/>
        <w:tab/>
        <w:t>Application requirements for new and existing concentrated aquatic animal production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74:52:02:35</w:t>
        <w:tab/>
        <w:tab/>
        <w:t>Criteria for concentrated aquatic animal production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74:52:02:36</w:t>
        <w:tab/>
        <w:tab/>
        <w:t>Storm water discharges subject to SWD permit regulations.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74:52:02:37</w:t>
        <w:tab/>
        <w:tab/>
        <w:t>Application requirements for storm water discharges.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74:52:02:38</w:t>
        <w:tab/>
        <w:tab/>
        <w:t>Definitions applicable to silvicultural activities.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74:52:02:39</w:t>
        <w:tab/>
        <w:tab/>
        <w:t>Primary industry categories.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74:52:02:40</w:t>
        <w:tab/>
        <w:tab/>
        <w:t>SWD permit application testing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74:52:02:41</w:t>
        <w:tab/>
        <w:tab/>
        <w:t>Organic toxic pollutants in GC/MS fractions.</w:t>
      </w:r>
    </w:p>
    <w:p>
      <w:pPr>
        <w:pStyle w:val="P1"/>
        <w:ind w:hanging="1620" w:left="1620"/>
      </w:pPr>
      <w:r>
        <w:t>74:52:02:42</w:t>
        <w:tab/>
        <w:tab/>
        <w:t>Application requirements for testing other toxic pollutants -- Metals, cyanide, and total phenols.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74:52:02:43</w:t>
        <w:tab/>
        <w:tab/>
        <w:t>Application requirements for testing conventional and nonconventional pollutants.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74:52:02:44</w:t>
        <w:tab/>
        <w:tab/>
        <w:t>Application requirements for identifying toxic pollutants and hazardous substances.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74:52:02:45</w:t>
        <w:tab/>
        <w:tab/>
        <w:t>Certain application requirements suspended for some categories and subcategories of primary industries.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74:52:02:46</w:t>
        <w:tab/>
        <w:tab/>
        <w:t>General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74:52:02:47</w:t>
        <w:tab/>
        <w:tab/>
        <w:t>Secretary may require individual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