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Hour" w:val="20"/>
          <w:attr w:name="Minute" w:val="48"/>
        </w:smartTagPr>
        <w:r>
          <w:rPr>
            <w:b/>
          </w:rPr>
          <w:t>20:48:13</w:t>
        </w:r>
      </w:smartTag>
      <w:r>
        <w:rPr>
          <w:b/>
        </w:rPr>
        <w:t>:10.  Administrative costs.</w:t>
      </w:r>
      <w:r>
        <w:t xml:space="preserve"> The costs for administration of the nurse education assistance scholarship program shall be deducted from the loan fund.</w:t>
      </w:r>
    </w:p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16 SDR 37, effective August 30, 1989; 41 SDR 12, effective July 31, 2014.</w:t>
      </w:r>
    </w:p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36-9-76.</w:t>
      </w:r>
    </w:p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36-9-76.</w:t>
      </w:r>
    </w:p>
    <w:p w:rsidR="00EF7A5E" w:rsidRDefault="00EF7A5E" w:rsidP="005677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F7A5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772C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6772C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63D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EF7A5E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2014-07-28T21:15:00Z</dcterms:created>
  <dcterms:modified xsi:type="dcterms:W3CDTF">2014-07-28T21:15:00Z</dcterms:modified>
</cp:coreProperties>
</file>