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98B" w:rsidRDefault="0034398B" w:rsidP="009A6F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20:49:03:06.  New application after disqualification.</w:t>
      </w:r>
      <w:r>
        <w:rPr>
          <w:rFonts w:ascii="Times New Roman" w:hAnsi="Times New Roman"/>
          <w:sz w:val="24"/>
        </w:rPr>
        <w:t xml:space="preserve"> Repealed.</w:t>
      </w:r>
    </w:p>
    <w:p w:rsidR="0034398B" w:rsidRDefault="0034398B" w:rsidP="009A6F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398B" w:rsidRDefault="0034398B" w:rsidP="009A6F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66, effective January 9, 1980; 12 SDR 151, 12 SDR 155, effective July 1, 1986; repealed, 36 SDR 27, effective August 25, 2009.</w:t>
      </w:r>
    </w:p>
    <w:p w:rsidR="0034398B" w:rsidRDefault="0034398B" w:rsidP="009A6F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398B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6FE8"/>
    <w:rsid w:val="0034398B"/>
    <w:rsid w:val="00402888"/>
    <w:rsid w:val="009A6FE8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6FE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196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2009-08-24T20:21:00Z</dcterms:created>
  <dcterms:modified xsi:type="dcterms:W3CDTF">2009-08-24T20:22:00Z</dcterms:modified>
</cp:coreProperties>
</file>