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5D5" w:rsidRDefault="00C515D5" w:rsidP="00706B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20:49:04:02.  Application requirements.</w:t>
      </w:r>
      <w:r>
        <w:t xml:space="preserve"> Repealed.</w:t>
      </w:r>
    </w:p>
    <w:p w:rsidR="00C515D5" w:rsidRDefault="00C515D5" w:rsidP="00706B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515D5" w:rsidRDefault="00C515D5" w:rsidP="00706B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2 SDR 86, effective June 27, 1976; transferred from § 20:49:04:05, 6 SDR 66, effective January 9, 1980; 12 SDR 151, 12 SDR 155, effective July 1, 1986; 22 SDR 74, effective November 27, 1995; 27 SDR 61, effective December 24, 2000; 36 SDR 27, effective August 25, 2009; repealed, SL 2014, ch 186, § 36, effective July 1, 2014.</w:t>
      </w:r>
    </w:p>
    <w:p w:rsidR="00C515D5" w:rsidRDefault="00C515D5" w:rsidP="00706B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515D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6BF8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BF8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15D5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cp:lastPrinted>2014-06-26T14:41:00Z</cp:lastPrinted>
  <dcterms:created xsi:type="dcterms:W3CDTF">2014-06-26T14:41:00Z</dcterms:created>
  <dcterms:modified xsi:type="dcterms:W3CDTF">2014-06-26T14:42:00Z</dcterms:modified>
</cp:coreProperties>
</file>