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6C582A5" Type="http://schemas.openxmlformats.org/officeDocument/2006/relationships/officeDocument" Target="/word/document.xml" /><Relationship Id="coreR26C582A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20:49:08:03.  Continuing education requirements.</w:t>
      </w:r>
      <w:r>
        <w:t xml:space="preserve"> A minimum of 40 hours of board approved continuing education</w:t>
      </w:r>
      <w:r>
        <w:rPr>
          <w:lang w:val="en-US" w:bidi="en-US" w:eastAsia="en-US"/>
        </w:rPr>
        <w:t xml:space="preserve"> directly related to the duties of a nursing facility administrator and</w:t>
      </w:r>
      <w:r>
        <w:t xml:space="preserve"> pertaining to health care, healthcare administration, or business administration is required biennially for renewal of a license. The board may accept academic courses</w:t>
      </w:r>
      <w:r>
        <w:rPr>
          <w:lang w:val="en-US" w:bidi="en-US" w:eastAsia="en-US"/>
        </w:rPr>
        <w:t xml:space="preserve"> directly related to the duties of a nursing facility administrator and</w:t>
      </w:r>
      <w:r>
        <w:t xml:space="preserve"> pertaining to health care, healthcare administration, or business administration offered through a higher education institution accredited by an organization recognized by the Council for Higher Education Accreditation. The board may approve continuing education providers and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2 SDR 86, effective June 27, 1976; 6 SDR 66, effective January 9, 1980; 12 SDR 151, 12 SDR 155, effective July 1, 1986; 13 SDR 90, effective January 22, 1986; 22 SDR 74, effective November 27, 1995; 27 SDR 61, effective December 24, 2000; 36 SDR 27, effective August 25, 2009; SL 2014, ch 186, § 45, effective July 1, 2014</w:t>
      </w:r>
      <w:r>
        <w:t>; 46 SDR 75, effective December 4,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</w:t>
      </w:r>
      <w:r>
        <w:t>36-28-21.1.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</w:t>
      </w:r>
      <w:r>
        <w:t>36-28-21.1.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2014-06-25T22:08:00Z</dcterms:created>
  <cp:lastModifiedBy>Rhonda Purkapile</cp:lastModifiedBy>
  <dcterms:modified xsi:type="dcterms:W3CDTF">2019-12-02T22:06:03Z</dcterms:modified>
  <cp:revision>3</cp:revision>
</cp:coreProperties>
</file>