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20:49:14:01.  Petition for declaratory ruling.</w:t>
      </w:r>
      <w:r>
        <w:t xml:space="preserve"> Any person may petition the board to issue a declaratory ruling by filing a written request.</w:t>
      </w:r>
    </w:p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6 SDR 66, effective January 9, 1980; 12 SDR 151, 12 SDR 155, effective July 1, 1986; SL 2014, ch 186, § 50, effective July 1, 2014.</w:t>
      </w:r>
    </w:p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36-28-4.</w:t>
      </w:r>
    </w:p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1-26-15.</w:t>
      </w:r>
    </w:p>
    <w:p w:rsidR="00566012" w:rsidRDefault="00566012" w:rsidP="009371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6601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7187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012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18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2014-06-25T22:26:00Z</dcterms:created>
  <dcterms:modified xsi:type="dcterms:W3CDTF">2014-06-25T22:26:00Z</dcterms:modified>
</cp:coreProperties>
</file>