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8AA" w:rsidRDefault="00EC18AA" w:rsidP="000A4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2"/>
          <w:attr w:name="Hour" w:val="20"/>
        </w:smartTagPr>
        <w:r>
          <w:rPr>
            <w:rFonts w:ascii="Times New Roman" w:hAnsi="Times New Roman"/>
            <w:b/>
            <w:sz w:val="24"/>
          </w:rPr>
          <w:t>20:52:01</w:t>
        </w:r>
      </w:smartTag>
      <w:r>
        <w:rPr>
          <w:rFonts w:ascii="Times New Roman" w:hAnsi="Times New Roman"/>
          <w:b/>
          <w:sz w:val="24"/>
        </w:rPr>
        <w:t>:09.  Renewal of physician assistant license.</w:t>
      </w:r>
      <w:r>
        <w:rPr>
          <w:rFonts w:ascii="Times New Roman" w:hAnsi="Times New Roman"/>
          <w:sz w:val="24"/>
        </w:rPr>
        <w:t xml:space="preserve"> An application for annual renewal, as provided in SDCL 36-4A-31 and SDCL 36-4A-32, shall be filed with the board before the first day of May of each year. The annual renewal fee shall be submitted with the annual renewal application.</w:t>
      </w:r>
    </w:p>
    <w:p w:rsidR="00EC18AA" w:rsidRDefault="00EC18AA" w:rsidP="000A4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8AA" w:rsidRDefault="00EC18AA" w:rsidP="000A4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/>
            <w:sz w:val="24"/>
          </w:rPr>
          <w:t>October 17, 2007</w:t>
        </w:r>
      </w:smartTag>
      <w:r>
        <w:rPr>
          <w:rFonts w:ascii="Times New Roman" w:hAnsi="Times New Roman"/>
          <w:sz w:val="24"/>
        </w:rPr>
        <w:t>.</w:t>
      </w:r>
    </w:p>
    <w:p w:rsidR="00EC18AA" w:rsidRDefault="00EC18AA" w:rsidP="000A4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36-4A-42.</w:t>
      </w:r>
    </w:p>
    <w:p w:rsidR="00EC18AA" w:rsidRDefault="00EC18AA" w:rsidP="000A4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36-4A-31.</w:t>
      </w:r>
    </w:p>
    <w:p w:rsidR="00EC18AA" w:rsidRDefault="00EC18AA" w:rsidP="000A4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C18AA" w:rsidSect="00EC18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4C6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18AA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4C6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2007-10-11T21:27:00Z</dcterms:created>
  <dcterms:modified xsi:type="dcterms:W3CDTF">2007-10-11T21:27:00Z</dcterms:modified>
</cp:coreProperties>
</file>