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E0659D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20:57:02:03.  General application requirements.</w:t>
      </w:r>
      <w:r>
        <w:rPr>
          <w:rFonts w:ascii="Times New Roman" w:hAnsi="Times New Roman"/>
          <w:sz w:val="24"/>
        </w:rPr>
        <w:t xml:space="preserve"> An applicant for licensure must fulfill the following requirements: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Submit an affidavit, with the applicant's photograph attached, attesting to the qualifications required by SDCL chapter 36-12 and this article;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rFonts w:ascii="Times New Roman" w:hAnsi="Times New Roman"/>
          <w:sz w:val="24"/>
        </w:rPr>
        <w:t>List all states in which the applicant is or has been licensed to practice veterinary medicine;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State all places where the applicant has previously practiced veterinary medicine and give the time of the practice;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  State whether the applicant has ever been convicted of any</w:t>
      </w:r>
      <w:r>
        <w:rPr>
          <w:rFonts w:ascii="Times New Roman" w:hAnsi="Times New Roman"/>
          <w:sz w:val="24"/>
          <w:lang w:val="en-US" w:bidi="en-US" w:eastAsia="en-US"/>
        </w:rPr>
        <w:t xml:space="preserve"> felony</w:t>
      </w:r>
      <w:r>
        <w:rPr>
          <w:rFonts w:ascii="Times New Roman" w:hAnsi="Times New Roman"/>
          <w:sz w:val="24"/>
        </w:rPr>
        <w:t xml:space="preserve"> criminal offense, </w:t>
      </w:r>
      <w:r>
        <w:rPr>
          <w:rFonts w:ascii="Times New Roman" w:hAnsi="Times New Roman"/>
          <w:sz w:val="24"/>
        </w:rPr>
        <w:t>and give the nature and location of the offense;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Give the applicant's history of veterinary medical schooling, including dates and places,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  <w:r>
        <w:rPr>
          <w:rFonts w:ascii="Times New Roman" w:hAnsi="Times New Roman"/>
          <w:sz w:val="24"/>
        </w:rPr>
        <w:t xml:space="preserve"> diplomas earned</w:t>
      </w:r>
      <w:r>
        <w:rPr>
          <w:rFonts w:ascii="Times New Roman" w:hAnsi="Times New Roman"/>
          <w:sz w:val="24"/>
        </w:rPr>
        <w:t>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Submit an application fee of $75.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June 26, 1975; 12 SDR 151, 12 SDR 155, effective July 1, 1986; 23 SDR 95, effective December 15, 1996; 36 SDR 183, effective May 20, 2010</w:t>
      </w:r>
      <w:r>
        <w:rPr>
          <w:rFonts w:ascii="Times New Roman" w:hAnsi="Times New Roman"/>
          <w:sz w:val="24"/>
          <w:lang w:val="en-US" w:bidi="en-US" w:eastAsia="en-US"/>
        </w:rPr>
        <w:t>; 44 SDR 158, effective May 7,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36-12-12.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36-12-12, 36-12-13, 36-12-15.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