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9188D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20:57:02:11.  License in good standing defined.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95, effective December 15, 1996</w:t>
      </w:r>
      <w:r>
        <w:rPr>
          <w:rFonts w:ascii="Times New Roman" w:hAnsi="Times New Roman"/>
          <w:sz w:val="24"/>
        </w:rPr>
        <w:t>; 44 SDR 158, effective May 7,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