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20:59:04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CONTINUING EDUCATION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20:59:04:01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20:59:04:01.01</w:t>
        <w:tab/>
        <w:t>Courses eligible for continuing education credit -- Distance education.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20:59:04:02</w:t>
        <w:tab/>
        <w:tab/>
        <w:t>Amount of continuing education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20:59:04:03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20:59:04:04</w:t>
        <w:tab/>
        <w:tab/>
        <w:t>Waiver due to certified illness.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20:59:04:05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20:59:04:06</w:t>
        <w:tab/>
        <w:tab/>
        <w:t>Continuing education obtained out-of-state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20:59:04:07</w:t>
        <w:tab/>
        <w:tab/>
        <w:t>Preparation or publication of a professional social work topic or paper.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20:59:04:08</w:t>
        <w:tab/>
        <w:tab/>
        <w:t>Standards for approval of continuing education sponsor.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20:59:04:09</w:t>
        <w:tab/>
        <w:tab/>
        <w:t>Standards for approval of continuing education programs.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016" w:left="201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20:59:04:10</w:t>
        <w:tab/>
        <w:tab/>
        <w:t>Standards for approval of continuing education programs for agency administrators.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2004-07-08T20:02:00Z</dcterms:created>
  <cp:lastModifiedBy>Kelly Thompson</cp:lastModifiedBy>
  <dcterms:modified xsi:type="dcterms:W3CDTF">2024-11-05T21:47:18Z</dcterms:modified>
  <cp:revision>3</cp:revision>
  <dc:title>CHAPTER 20:59:04</dc:title>
</cp:coreProperties>
</file>