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20:59:04:04.  Waiver due to certified illness.</w:t>
      </w:r>
      <w:r>
        <w:rPr>
          <w:rFonts w:ascii="Times New Roman" w:hAnsi="Times New Roman"/>
          <w:sz w:val="24"/>
        </w:rPr>
        <w:t xml:space="preserve"> A licensee may apply for a waiver of the continuing education requirement if the licensee presents a physician's certified statement that the licensee was physically incapacitated to the extent th</w:t>
      </w:r>
      <w:r>
        <w:rPr>
          <w:rFonts w:ascii="Times New Roman" w:hAnsi="Times New Roman"/>
          <w:sz w:val="24"/>
        </w:rPr>
        <w:t>at the licensee could not satisfy the requirement within the previous two-year license period.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sz w:val="24"/>
        </w:rPr>
        <w:t>A licensee must submit the waiver to the board at least thirty days prior to the expiration of the two-year license period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81, effective May 29, 1977; 4 SDR 82, effective June 6, 1978;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51 SDR 52, effective November 11, 2024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36-26-26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2004-07-08T20:03:00Z</dcterms:created>
  <cp:lastModifiedBy>Kelly Thompson</cp:lastModifiedBy>
  <dcterms:modified xsi:type="dcterms:W3CDTF">2024-11-05T21:45:28Z</dcterms:modified>
  <cp:revision>3</cp:revision>
</cp:coreProperties>
</file>