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20:59:05:07.  Supervisor's reports and time of supervision.</w:t>
      </w:r>
      <w:r>
        <w:rPr>
          <w:rFonts w:ascii="Times New Roman" w:hAnsi="Times New Roman"/>
          <w:sz w:val="24"/>
        </w:rPr>
        <w:t xml:space="preserve"> After the supervision agreement is approved by the board as set forth in § 20:59:05:05, the supervisor shall submit reports every six months during the period of supervision to the board on a form supplied by the board. The </w:t>
      </w:r>
      <w:r>
        <w:rPr>
          <w:rFonts w:ascii="Times New Roman" w:hAnsi="Times New Roman"/>
          <w:sz w:val="24"/>
          <w:lang w:val="en-US" w:bidi="en-US" w:eastAsia="en-US"/>
        </w:rPr>
        <w:t>certified social worker in private, independen</w:t>
      </w:r>
      <w:r>
        <w:rPr>
          <w:rFonts w:ascii="Times New Roman" w:hAnsi="Times New Roman"/>
          <w:sz w:val="24"/>
          <w:lang w:val="en-US" w:bidi="en-US" w:eastAsia="en-US"/>
        </w:rPr>
        <w:t>t practice (</w:t>
      </w:r>
      <w:r>
        <w:rPr>
          <w:rFonts w:ascii="Times New Roman" w:hAnsi="Times New Roman"/>
          <w:sz w:val="24"/>
        </w:rPr>
        <w:t>CSW-PIP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candidate shall work at least </w:t>
      </w:r>
      <w:r>
        <w:rPr>
          <w:rFonts w:ascii="Times New Roman" w:hAnsi="Times New Roman"/>
          <w:sz w:val="24"/>
          <w:lang w:val="en-US" w:bidi="en-US" w:eastAsia="en-US"/>
        </w:rPr>
        <w:t>thirty</w:t>
      </w:r>
      <w:r>
        <w:rPr>
          <w:rFonts w:ascii="Times New Roman" w:hAnsi="Times New Roman"/>
          <w:sz w:val="24"/>
        </w:rPr>
        <w:t xml:space="preserve"> hours per week. The reports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document that the supervisor has provided </w:t>
      </w:r>
      <w:r>
        <w:rPr>
          <w:rFonts w:ascii="Times New Roman" w:hAnsi="Times New Roman"/>
          <w:sz w:val="24"/>
          <w:lang w:val="en-US" w:bidi="en-US" w:eastAsia="en-US"/>
        </w:rPr>
        <w:t xml:space="preserve">the CSW-PIP candidate with </w:t>
      </w:r>
      <w:r>
        <w:rPr>
          <w:rFonts w:ascii="Times New Roman" w:hAnsi="Times New Roman"/>
          <w:sz w:val="24"/>
        </w:rPr>
        <w:t>a minimum of four hours of individual supervision per month</w:t>
      </w:r>
      <w:r>
        <w:rPr>
          <w:rFonts w:ascii="Times New Roman" w:hAnsi="Times New Roman"/>
          <w:sz w:val="24"/>
        </w:rPr>
        <w:t>, subject to the following: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(1)  Group supervision or consultation may be allowed instead of individual supervision if </w:t>
      </w:r>
      <w:r>
        <w:rPr>
          <w:rFonts w:ascii="Times New Roman" w:hAnsi="Times New Roman"/>
          <w:sz w:val="24"/>
          <w:lang w:val="en-US" w:bidi="en-US" w:eastAsia="en-US"/>
        </w:rPr>
        <w:t>the</w:t>
      </w:r>
      <w:r>
        <w:rPr>
          <w:rFonts w:ascii="Times New Roman" w:hAnsi="Times New Roman"/>
          <w:sz w:val="24"/>
        </w:rPr>
        <w:t xml:space="preserve"> supervision does not exceed one-half of the total supervision time in each six-month period;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(2)  Part-time work of at least </w:t>
      </w:r>
      <w:r>
        <w:rPr>
          <w:rFonts w:ascii="Times New Roman" w:hAnsi="Times New Roman"/>
          <w:sz w:val="24"/>
          <w:lang w:val="en-US" w:bidi="en-US" w:eastAsia="en-US"/>
        </w:rPr>
        <w:t>eighteen</w:t>
      </w:r>
      <w:r>
        <w:rPr>
          <w:rFonts w:ascii="Times New Roman" w:hAnsi="Times New Roman"/>
          <w:sz w:val="24"/>
        </w:rPr>
        <w:t xml:space="preserve"> hours per week may satisfy the supervision requirement on the following schedule: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1548" w:type="dxa"/>
        <w:tblBorders>
          <w:top w:val="single" w:sz="6" w:space="0" w:shadow="0" w:frame="0" w:color="auto"/>
          <w:left w:val="single" w:sz="6" w:space="0" w:shadow="0" w:frame="0" w:color="auto"/>
          <w:bottom w:val="single" w:sz="6" w:space="0" w:shadow="0" w:frame="0" w:color="auto"/>
          <w:right w:val="single" w:sz="6" w:space="0" w:shadow="0" w:frame="0" w:color="auto"/>
          <w:insideH w:val="single" w:sz="6" w:space="0" w:shadow="0" w:frame="0" w:color="auto"/>
          <w:insideV w:val="single" w:sz="6" w:space="0" w:shadow="0" w:frame="0" w:color="auto"/>
        </w:tblBorders>
        <w:tblLayout w:type="fixed"/>
        <w:tblLook w:val="0000"/>
      </w:tblPr>
      <w:tblGrid/>
      <w:tr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Hours Worked</w:t>
            </w:r>
          </w:p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Per Week</w:t>
            </w:r>
          </w:p>
        </w:tc>
        <w:tc>
          <w:tcPr>
            <w:tcW w:w="252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Number of Years</w:t>
            </w:r>
          </w:p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Required Supervision</w:t>
            </w:r>
          </w:p>
        </w:tc>
        <w:tc>
          <w:tcPr>
            <w:tcW w:w="1980" w:type="dxa"/>
          </w:tcPr>
          <w:p>
            <w:pPr>
              <w:pStyle w:val="P1"/>
              <w:jc w:val="center"/>
              <w:rPr>
                <w:b w:val="1"/>
              </w:rPr>
            </w:pPr>
            <w:r>
              <w:rPr>
                <w:b w:val="1"/>
              </w:rPr>
              <w:t>Number of</w:t>
            </w:r>
          </w:p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Monthly Hours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252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98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18-29</w:t>
            </w:r>
          </w:p>
        </w:tc>
        <w:tc>
          <w:tcPr>
            <w:tcW w:w="252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198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</w:tr>
      <w:tr>
        <w:tblPrEx>
          <w:tblCellMar>
            <w:top w:w="0" w:type="dxa"/>
            <w:bottom w:w="0" w:type="dxa"/>
          </w:tblCellMar>
        </w:tblPrEx>
        <w:tc>
          <w:tcPr>
            <w:tcW w:w="225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 and above</w:t>
            </w:r>
          </w:p>
        </w:tc>
        <w:tc>
          <w:tcPr>
            <w:tcW w:w="252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1980" w:type="dxa"/>
          </w:tcPr>
          <w:p>
            <w:pPr>
              <w:widowControl w:val="1"/>
              <w:tabs>
                <w:tab w:val="left" w:pos="576" w:leader="none"/>
                <w:tab w:val="left" w:pos="864" w:leader="none"/>
                <w:tab w:val="left" w:pos="1296" w:leader="none"/>
                <w:tab w:val="left" w:pos="1584" w:leader="none"/>
                <w:tab w:val="left" w:pos="2016" w:leader="none"/>
                <w:tab w:val="left" w:pos="2304" w:leader="none"/>
                <w:tab w:val="left" w:pos="2736" w:leader="none"/>
                <w:tab w:val="left" w:pos="3024" w:leader="none"/>
                <w:tab w:val="left" w:pos="3456" w:leader="none"/>
                <w:tab w:val="left" w:pos="3744" w:leader="none"/>
                <w:tab w:val="left" w:pos="4176" w:leader="none"/>
                <w:tab w:val="left" w:pos="4464" w:leader="none"/>
                <w:tab w:val="left" w:pos="4896" w:leader="none"/>
                <w:tab w:val="left" w:pos="5184" w:leader="none"/>
                <w:tab w:val="left" w:pos="5616" w:leader="none"/>
                <w:tab w:val="left" w:pos="5904" w:leader="none"/>
              </w:tabs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</w:tr>
    </w:tbl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(3)  When the supervisor is not </w:t>
      </w:r>
      <w:r>
        <w:rPr>
          <w:rFonts w:ascii="Times New Roman" w:hAnsi="Times New Roman"/>
          <w:sz w:val="24"/>
          <w:lang w:val="en-US" w:bidi="en-US" w:eastAsia="en-US"/>
        </w:rPr>
        <w:t>physically present</w:t>
      </w:r>
      <w:r>
        <w:rPr>
          <w:rFonts w:ascii="Times New Roman" w:hAnsi="Times New Roman"/>
          <w:sz w:val="24"/>
        </w:rPr>
        <w:t xml:space="preserve"> with the CSW-PIP candidate, the supervisor must be available by telecommunications or technology;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(4)  The board may authorize </w:t>
      </w:r>
      <w:r>
        <w:rPr>
          <w:rFonts w:ascii="Times New Roman" w:hAnsi="Times New Roman"/>
          <w:sz w:val="24"/>
        </w:rPr>
        <w:t xml:space="preserve">modifications in the method and frequency of supervision </w:t>
      </w:r>
      <w:r>
        <w:rPr>
          <w:rFonts w:ascii="Times New Roman" w:hAnsi="Times New Roman"/>
          <w:sz w:val="24"/>
          <w:lang w:val="en-US" w:bidi="en-US" w:eastAsia="en-US"/>
        </w:rPr>
        <w:t>based upon</w:t>
      </w:r>
      <w:r>
        <w:rPr>
          <w:rFonts w:ascii="Times New Roman" w:hAnsi="Times New Roman"/>
          <w:sz w:val="24"/>
        </w:rPr>
        <w:t xml:space="preserve"> the board</w:t>
      </w:r>
      <w:r>
        <w:rPr>
          <w:rFonts w:ascii="Times New Roman" w:hAnsi="Times New Roman"/>
          <w:sz w:val="24"/>
          <w:lang w:val="en-US" w:bidi="en-US" w:eastAsia="en-US"/>
        </w:rPr>
        <w:t>'s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finding of adequate supervision, training, and proficiency.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81, effective December 12, 1999; 29 SDR 92, effective December 24, 2002</w:t>
      </w:r>
      <w:r>
        <w:rPr>
          <w:rFonts w:ascii="Times New Roman" w:hAnsi="Times New Roman"/>
          <w:sz w:val="24"/>
          <w:lang w:val="en-US" w:bidi="en-US" w:eastAsia="en-US"/>
        </w:rPr>
        <w:t xml:space="preserve">; 51 SDR </w:t>
      </w:r>
      <w:r>
        <w:rPr>
          <w:rFonts w:ascii="Times New Roman" w:hAnsi="Times New Roman"/>
          <w:sz w:val="24"/>
          <w:lang w:val="en-US" w:bidi="en-US" w:eastAsia="en-US"/>
        </w:rPr>
        <w:t>52, effective No</w:t>
      </w:r>
      <w:r>
        <w:rPr>
          <w:rFonts w:ascii="Times New Roman" w:hAnsi="Times New Roman"/>
          <w:sz w:val="24"/>
          <w:lang w:val="en-US" w:bidi="en-US" w:eastAsia="en-US"/>
        </w:rPr>
        <w:t>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widowControl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2004-07-08T20:07:00Z</dcterms:created>
  <cp:lastModifiedBy>Kelly Thompson</cp:lastModifiedBy>
  <dcterms:modified xsi:type="dcterms:W3CDTF">2024-11-05T22:34:03Z</dcterms:modified>
  <cp:revision>4</cp:revision>
</cp:coreProperties>
</file>