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20:59:05:09.  Additional supervisor responsibilities.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26 SDR 81, effective December 12, 1999; 29 SDR 92, effective December 24, 2002; 45 SDR 82, effective December 10, 2018</w:t>
      </w:r>
      <w:r>
        <w:rPr>
          <w:rFonts w:ascii="Times New Roman" w:hAnsi="Times New Roman"/>
          <w:sz w:val="24"/>
          <w:lang w:val="en-US" w:bidi="en-US" w:eastAsia="en-US"/>
        </w:rPr>
        <w:t>; 51 SDR 52, effective November 11, 2024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2004-07-08T20:07:00Z</dcterms:created>
  <cp:lastModifiedBy>Kelly Thompson</cp:lastModifiedBy>
  <dcterms:modified xsi:type="dcterms:W3CDTF">2024-11-05T22:37:07Z</dcterms:modified>
  <cp:revision>5</cp:revision>
</cp:coreProperties>
</file>