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FFD3BE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20:62:01:10.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B</w:t>
      </w:r>
      <w:r>
        <w:rPr>
          <w:rFonts w:ascii="Times New Roman" w:hAnsi="Times New Roman"/>
          <w:b w:val="1"/>
          <w:sz w:val="24"/>
        </w:rPr>
        <w:t>oard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busines</w:t>
      </w:r>
      <w:r>
        <w:rPr>
          <w:rFonts w:ascii="Times New Roman" w:hAnsi="Times New Roman"/>
          <w:b w:val="1"/>
          <w:sz w:val="24"/>
        </w:rPr>
        <w:t>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Meetings, business, handling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finances, approval of education programs, disciplinary proceedings, action of the board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delegation of duties to the executive director, pursuant to this article, shall be conducted as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provided in SDCL </w:t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</w:rPr>
        <w:t xml:space="preserve">hapter 36-9 and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>rticle 20:48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April 13, 1983; 12 SDR 151, 12 SDR 155, effective July 1, 1986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36-9A-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1.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36-9A-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