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20:63:01:02.  Date of notice.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Repealed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13 SDR 9, effective August 4, 1986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52 SDR 18, effecti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ve August 25, 2025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2004-07-14T16:45:00Z</dcterms:created>
  <cp:lastModifiedBy>Kelly Thompson</cp:lastModifiedBy>
  <dcterms:modified xsi:type="dcterms:W3CDTF">2025-08-18T16:36:20Z</dcterms:modified>
  <cp:revision>3</cp:revision>
</cp:coreProperties>
</file>