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20:63:02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LICENSURE REQUIREMENTS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20:63:02:01</w:t>
        <w:tab/>
        <w:tab/>
        <w:t>Application for licensure by examination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20:63:02:02</w:t>
        <w:tab/>
        <w:tab/>
        <w:t>Application for licensure by reciprocity</w:t>
      </w:r>
      <w:r>
        <w:rPr>
          <w:rFonts w:ascii="Times New Roman" w:hAnsi="Times New Roman"/>
          <w:sz w:val="24"/>
          <w:lang w:val="en-US" w:bidi="en-US" w:eastAsia="en-US"/>
        </w:rPr>
        <w:t>, 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20:63:02:03</w:t>
        <w:tab/>
        <w:tab/>
        <w:t>Replacement of license.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20:63:02:04</w:t>
        <w:tab/>
        <w:tab/>
        <w:t>Evidence of change of name.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20:63:02:05</w:t>
        <w:tab/>
        <w:tab/>
        <w:t>Fees for licensure or renewal.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20:63:02:06</w:t>
        <w:tab/>
        <w:tab/>
        <w:t>Examination.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2025-08-18T16:50:46Z</dcterms:created>
  <cp:lastModifiedBy>Kelly Thompson</cp:lastModifiedBy>
  <dcterms:modified xsi:type="dcterms:W3CDTF">2025-08-18T16:51:10Z</dcterms:modified>
  <cp:revision>2</cp:revision>
</cp:coreProperties>
</file>