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B1F52A9" Type="http://schemas.openxmlformats.org/officeDocument/2006/relationships/officeDocument" Target="/word/document.xml" /><Relationship Id="coreR1B1F52A9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20:67:03:01.  Facilities.</w:t>
      </w:r>
      <w:r>
        <w:rPr>
          <w:rFonts w:ascii="Times New Roman" w:hAnsi="Times New Roman"/>
          <w:sz w:val="24"/>
        </w:rPr>
        <w:t xml:space="preserve"> All facilities at which prescription drugs are stored, warehoused, handled, held, offered, marketed, or displayed shall meet the following conditions: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Be of suitable size and construction to facilitate cleaning, maintenance, and proper operations;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Have storage areas designed to provide adequate lighting, ventilation, temperature, sanitation, humidity, space, equipment, and security conditions;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Have a separate quarantine area for storage of prescription drugs that are outdated, damaged, deteriorated,</w:t>
      </w:r>
      <w:r>
        <w:rPr>
          <w:rFonts w:ascii="Times New Roman" w:hAnsi="Times New Roman"/>
          <w:sz w:val="24"/>
          <w:lang w:val="en-US" w:bidi="en-US" w:eastAsia="en-US"/>
        </w:rPr>
        <w:t xml:space="preserve"> recalled,</w:t>
      </w:r>
      <w:r>
        <w:rPr>
          <w:rFonts w:ascii="Times New Roman" w:hAnsi="Times New Roman"/>
          <w:sz w:val="24"/>
        </w:rPr>
        <w:t xml:space="preserve"> misbranded, or adulterated or that are in immediate or sealed secondary containers that have been opened;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Be maintained in a clean and orderly condition;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Be free from infestation by insects, rodents, birds, or vermin of any kind;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Be secured from unauthorized entry by: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(a)  A well-lighted outside perimeter of the premises;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(b)  An alarm system to detect entry after hours; and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>(c)  A security system that provides protection against theft and diversion, including, if applicable, theft or diversion that is facilitated or hidden by tampering with computers or electronic records.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18 SDR 95, effective November 25, 1991</w:t>
      </w:r>
      <w:r>
        <w:rPr>
          <w:rFonts w:ascii="Times New Roman" w:hAnsi="Times New Roman"/>
          <w:sz w:val="24"/>
        </w:rPr>
        <w:t>; 45 SDR 86, effective December 24, 2018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36-11A-14(7),(10).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36-11A-7.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2004-07-14T17:09:00Z</dcterms:created>
  <cp:lastModifiedBy>Rhonda Purkapile</cp:lastModifiedBy>
  <dcterms:modified xsi:type="dcterms:W3CDTF">2018-12-19T15:39:30Z</dcterms:modified>
  <cp:revision>3</cp:revision>
</cp:coreProperties>
</file>