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8556D77" Type="http://schemas.openxmlformats.org/officeDocument/2006/relationships/officeDocument" Target="/word/document.xml" /><Relationship Id="coreR8556D7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20:16:15:27.  Nonalienation of benefits.</w:t>
      </w:r>
      <w:r>
        <w:t xml:space="preserve"> No benefit payable at any time under the plan may be subject in any manner to alienation, sale, transfer, assignment, pledge, attachment, or encumbrance of any kind. Any attempt to encumber such a benefit in any way is void. A benefit is not subject in any manner to the debts or liabilities of any person to whom the benefit is payable. If, by reason of bankruptcy, insolvency, or assignment of creditors of an employee or pensioner or any other happening at any time such benefits would devolve upon anyone else or would not be enjoyed by the employee or pensioner, the board may terminate the employee's or pensioner's interest in any such benefits and hold or apply them to or for the benefit of the person, the person's spouse, children, or other dependents or any of them in such manner as the board deems proper.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2014-05-23T15:26:00Z</dcterms:created>
  <cp:lastModifiedBy>Rhonda Purkapile</cp:lastModifiedBy>
  <dcterms:modified xsi:type="dcterms:W3CDTF">2019-05-14T18:47:52Z</dcterms:modified>
  <cp:revision>2</cp:revision>
</cp:coreProperties>
</file>