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1F72380" Type="http://schemas.openxmlformats.org/officeDocument/2006/relationships/officeDocument" Target="/word/document.xml" /><Relationship Id="coreR71F7238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20:16:15:29.  Conditions for forfeiture of benefit rights.</w:t>
      </w:r>
      <w:r>
        <w:t xml:space="preserve"> Any retirement benefit that may be payable or become payable and all rights under the plan in favor of any employee or pensioner shall be forfeited if, prior to or after the termination of employment by the commission, the employee or pensioner confesses to or is convicted of any crime perpetrated against the commission involving the embezzlement of commission funds or property.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2014-05-23T15:27:00Z</dcterms:created>
  <cp:lastModifiedBy>Rhonda Purkapile</cp:lastModifiedBy>
  <dcterms:modified xsi:type="dcterms:W3CDTF">2019-05-14T18:49:46Z</dcterms:modified>
  <cp:revision>2</cp:revision>
</cp:coreProperties>
</file>