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A55F39" Type="http://schemas.openxmlformats.org/officeDocument/2006/relationships/officeDocument" Target="/word/document.xml" /><Relationship Id="coreR3DA55F3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20:16:15:32.  Improvement factor.</w:t>
      </w:r>
      <w:r>
        <w:t xml:space="preserve"> The benefits described in this chapter shall be increased by an amount equal to two percent of the initial benefit amount, not compounded, for each year commencing on the July 1 that is at least 12 months following the date on which the benefit was first payable.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2014-05-23T15:29:00Z</dcterms:created>
  <cp:lastModifiedBy>Rhonda Purkapile</cp:lastModifiedBy>
  <dcterms:modified xsi:type="dcterms:W3CDTF">2019-05-14T18:52:31Z</dcterms:modified>
  <cp:revision>2</cp:revision>
</cp:coreProperties>
</file>