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4B9838A2" Type="http://schemas.openxmlformats.org/officeDocument/2006/relationships/officeDocument" Target="/word/document.xml" /><Relationship Id="coreR4B9838A2"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20:16:17:12.  Disability pension payments.</w:t>
      </w:r>
      <w:r>
        <w:t xml:space="preserve"> Payment of the disability pension shall begin five months after the month in which the disability occurs and shall continue thereafter for as long as the disability pensioner remains totally disabled. Upon attainment of age 65, a disability pensioner shall have benefits continued under § 20:16:17:16 regardless of whether or not the pensioner remains totally disabled.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r>
        <w:rPr>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-1</w:t>
      </w:r>
      <w:r>
        <w:rPr>
          <w:lang w:val="en-US" w:bidi="en-US" w:eastAsia="en-US"/>
        </w:rPr>
        <w:t>643</w:t>
      </w:r>
      <w:r>
        <w:t>, 3-12</w:t>
      </w:r>
      <w:r>
        <w:rPr>
          <w:lang w:val="en-US" w:bidi="en-US" w:eastAsia="en-US"/>
        </w:rPr>
        <w:t>C</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2014-05-23T17:10:00Z</dcterms:created>
  <cp:lastModifiedBy>Rhonda Purkapile</cp:lastModifiedBy>
  <dcterms:modified xsi:type="dcterms:W3CDTF">2019-07-29T14:13:56Z</dcterms:modified>
  <cp:revision>4</cp:revision>
</cp:coreProperties>
</file>