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EAC62B" Type="http://schemas.openxmlformats.org/officeDocument/2006/relationships/officeDocument" Target="/word/document.xml" /><Relationship Id="coreR5EAC62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20:16:17:31.  Information required.</w:t>
      </w:r>
      <w:r>
        <w:t xml:space="preserve"> An employee, pensioner, or beneficiary shall furnish the board with any information or proof requested by it and reasonably required to administer the plan. Failure on the part of any person to comply with such a request promptly, completely, and in good faith is sufficient grounds for denying benefits to that person. If a pensioner or beneficiary makes a false statement material to any claim for benefits, the person shall be denied all benefits, and the board may recover any payments made in reliance on the false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w:t>
      </w:r>
      <w:r>
        <w:rPr>
          <w:lang w:val="en-US" w:bidi="en-US" w:eastAsia="en-US"/>
        </w:rPr>
        <w:t>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2014-05-23T17:27:00Z</dcterms:created>
  <cp:lastModifiedBy>Rhonda Purkapile</cp:lastModifiedBy>
  <dcterms:modified xsi:type="dcterms:W3CDTF">2019-05-14T19:35:53Z</dcterms:modified>
  <cp:revision>2</cp:revision>
</cp:coreProperties>
</file>