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20:16:17:39.  Limitation on benefits.</w:t>
      </w:r>
      <w:r>
        <w:t xml:space="preserve"> This section does not constitute an election under § 415(b)(10)(C) of the Internal Revenue Code.</w:t>
      </w:r>
      <w:r>
        <w:rPr>
          <w:lang w:val="en-US" w:bidi="en-US" w:eastAsia="en-US"/>
        </w:rPr>
        <w:t xml:space="preserve"> Benefit payments under this plan shall follow the annual benefit limitations of </w:t>
      </w:r>
      <w:r>
        <w:rPr>
          <w:rFonts w:ascii="Times New Roman" w:hAnsi="Times New Roman"/>
          <w:lang w:val="en-US" w:bidi="en-US" w:eastAsia="en-US"/>
        </w:rPr>
        <w:t xml:space="preserve">§ 415(b)(1)(A) of the Internal Revenue Code, as the code is defined in § 3-12C-101, and as set forth in §§ 3-12C-1801 </w:t>
      </w:r>
      <w:r>
        <w:rPr>
          <w:rFonts w:ascii="Times New Roman" w:hAnsi="Times New Roman"/>
          <w:lang w:val="en-US" w:bidi="en-US" w:eastAsia="en-US"/>
        </w:rPr>
        <w:t>t</w:t>
      </w:r>
      <w:r>
        <w:rPr>
          <w:rFonts w:ascii="Times New Roman" w:hAnsi="Times New Roman"/>
          <w:lang w:val="en-US" w:bidi="en-US" w:eastAsia="en-US"/>
        </w:rPr>
        <w:t>o 3-12C-1817, inclusive.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2014; 45 SDR 142, effective July 1, 2019</w:t>
      </w:r>
      <w:r>
        <w:rPr>
          <w:lang w:val="en-US" w:bidi="en-US" w:eastAsia="en-US"/>
        </w:rPr>
        <w:t>; 47 SDR 138, effective July 1,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2014-05-23T18:34:00Z</dcterms:created>
  <cp:lastModifiedBy>Kelly Thompson</cp:lastModifiedBy>
  <dcterms:modified xsi:type="dcterms:W3CDTF">2021-06-29T18:32:02Z</dcterms:modified>
  <cp:revision>7</cp:revision>
</cp:coreProperties>
</file>