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C14F3B7" Type="http://schemas.openxmlformats.org/officeDocument/2006/relationships/officeDocument" Target="/word/document.xml" /><Relationship Id="coreR3C14F3B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20:16:18:15.  Reemployment of a disabled pensioner.</w:t>
      </w:r>
      <w:r>
        <w:t xml:space="preserve"> A pensioner who is no longer entitled to a disability benefit may be entitled to a normal or early pension unaffected by the prior receipt of a disability pension.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28 SDR 109, effective February 11, 2002; 36 SDR 207, effective July 1, 2010; 40 SDR 197, effective May 27, 2014</w:t>
      </w:r>
      <w:r>
        <w:t>; 45 SDR 142, effective July 1,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1647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643</w:t>
      </w:r>
      <w:r>
        <w:t>,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2014-05-23T19:28:00Z</dcterms:created>
  <cp:lastModifiedBy>Rhonda Purkapile</cp:lastModifiedBy>
  <dcterms:modified xsi:type="dcterms:W3CDTF">2019-05-14T20:35:27Z</dcterms:modified>
  <cp:revision>3</cp:revision>
</cp:coreProperties>
</file>