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B08D312" Type="http://schemas.openxmlformats.org/officeDocument/2006/relationships/officeDocument" Target="/word/document.xml" /><Relationship Id="coreR6B08D31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20:16:18:37.  Improvement factor.</w:t>
      </w:r>
      <w:r>
        <w:t xml:space="preserve"> The annual increase in the amount of the benefit allowance for each year commencing on the July first that is at least 12 months following the date on which the benefit was first payable shall be 3.1 percent, compounded annually. This annual increase, effective July 1, 1999, applies to all employees who retire after June 30, 1999, or who terminate employment after June 30, 1999, for any reason other than early or normal retirement after three years of credited service. The improvement factor shall commence on the July first that is at least 12 full calendar months following the date of termination. No individual may be required to incur another improvement factor waiting period when changing from one type of benefit to another type of benefit. Once the original waiting period has applied, future benefits shall automatically increase each July 1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2014-05-23T19:59:00Z</dcterms:created>
  <cp:lastModifiedBy>Rhonda Purkapile</cp:lastModifiedBy>
  <dcterms:modified xsi:type="dcterms:W3CDTF">2019-05-14T20:53:52Z</dcterms:modified>
  <cp:revision>2</cp:revision>
</cp:coreProperties>
</file>