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888DA70" Type="http://schemas.openxmlformats.org/officeDocument/2006/relationships/officeDocument" Target="/word/document.xml" /><Relationship Id="coreR5888DA7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20:16:18:40.  Privatization of the plant.</w:t>
      </w:r>
      <w:r>
        <w:t xml:space="preserve"> The plant was privatized on March 16, 2001. Any pensioner or former employee who qualifies to be an inactive vested employee affected by the privatization is entitled to the benefits accrued as of the effective date of the privatization.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2014-05-23T20:03:00Z</dcterms:created>
  <cp:lastModifiedBy>Rhonda Purkapile</cp:lastModifiedBy>
  <dcterms:modified xsi:type="dcterms:W3CDTF">2019-05-14T20:56:12Z</dcterms:modified>
  <cp:revision>2</cp:revision>
</cp:coreProperties>
</file>