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E95BCA" Type="http://schemas.openxmlformats.org/officeDocument/2006/relationships/officeDocument" Target="/word/document.xml" /><Relationship Id="coreR2BE95BC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20:16:19:35.  Nonalienation of benefits.</w:t>
      </w:r>
      <w:r>
        <w:t xml:space="preserve"> No benefit payable at any time under the plan may be subject in any manner to alienation, sale, transfer, assignment, pledge, attachment, or encumbrance of any kind. An attempt to encumber a benefit in any way is void. A benefit is not subject in any manner to the debts or liabilities of a person to whom the benefit is payable. However, the board may make distributions pursuant to a qualified domestic relations order as defined in Internal Revenue Code § 414(p), if the board has notified the employee and any alternate payee of the order and has determined that the order is a qualified domestic relations order.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2014-05-23T21:11:00Z</dcterms:created>
  <cp:lastModifiedBy>Rhonda Purkapile</cp:lastModifiedBy>
  <dcterms:modified xsi:type="dcterms:W3CDTF">2019-05-15T19:39:20Z</dcterms:modified>
  <cp:revision>2</cp:revision>
</cp:coreProperties>
</file>