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docProps/core.xml" ContentType="application/vnd.openxmlformats-package.core-properties+xml"/>
  <Override PartName="/word/theme/theme1.xml" ContentType="application/vnd.openxmlformats-officedocument.theme+xml"/>
</Types>
</file>

<file path=_rels/.rels>&#65279;<?xml version="1.0" encoding="utf-8"?><Relationships xmlns="http://schemas.openxmlformats.org/package/2006/relationships"><Relationship Id="R4ADA64D1" Type="http://schemas.openxmlformats.org/officeDocument/2006/relationships/officeDocument" Target="/word/document.xml" /><Relationship Id="coreR4ADA64D1" Type="http://schemas.openxmlformats.org/package/2006/relationships/metadata/core-properties" Target="/docProps/core.xml" /></Relationships>
</file>

<file path=word/document.xml><?xml version="1.0" encoding="utf-8"?>
<w:document xmlns:w="http://schemas.openxmlformats.org/wordprocessingml/2006/main" xmlns:wps="http://schemas.microsoft.com/office/word/2010/wordprocessingShape" xmlns:mc="http://schemas.openxmlformats.org/markup-compatibility/2006" xmlns:w10="urn:schemas-microsoft-com:office:word" xmlns:v="urn:schemas-microsoft-com:vml" xmlns:wp14="http://schemas.microsoft.com/office/word/2010/wordprocessingDrawing" mc:Ignorable="wp14">
  <w:body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20:36:04:07.  Certificate of qualification of plant.</w:t>
      </w:r>
      <w:r>
        <w:rPr>
          <w:rFonts w:ascii="Times New Roman" w:hAnsi="Times New Roman"/>
          <w:sz w:val="24"/>
        </w:rPr>
        <w:t xml:space="preserve"> Whenever the board has examined or reexamined any abstract plant after the effective date of these rules </w:t>
      </w:r>
      <w:r>
        <w:rPr>
          <w:rFonts w:ascii="Times New Roman" w:hAnsi="Times New Roman"/>
          <w:sz w:val="24"/>
        </w:rPr>
        <w:t xml:space="preserve">and has approved </w:t>
      </w:r>
      <w:r>
        <w:rPr>
          <w:rFonts w:ascii="Times New Roman" w:hAnsi="Times New Roman"/>
          <w:sz w:val="24"/>
          <w:lang w:val="en-US" w:bidi="en-US" w:eastAsia="en-US"/>
        </w:rPr>
        <w:t>t</w:t>
      </w:r>
      <w:r>
        <w:rPr>
          <w:rFonts w:ascii="Times New Roman" w:hAnsi="Times New Roman"/>
          <w:sz w:val="24"/>
        </w:rPr>
        <w:t>h</w:t>
      </w:r>
      <w:r>
        <w:rPr>
          <w:rFonts w:ascii="Times New Roman" w:hAnsi="Times New Roman"/>
          <w:sz w:val="24"/>
          <w:lang w:val="en-US" w:bidi="en-US" w:eastAsia="en-US"/>
        </w:rPr>
        <w:t>e</w:t>
      </w:r>
      <w:r>
        <w:rPr>
          <w:rFonts w:ascii="Times New Roman" w:hAnsi="Times New Roman"/>
          <w:sz w:val="24"/>
        </w:rPr>
        <w:t xml:space="preserve"> plant, it shall issue and deliver to the person in charge of </w:t>
      </w:r>
      <w:r>
        <w:rPr>
          <w:rFonts w:ascii="Times New Roman" w:hAnsi="Times New Roman"/>
          <w:sz w:val="24"/>
          <w:lang w:val="en-US" w:bidi="en-US" w:eastAsia="en-US"/>
        </w:rPr>
        <w:t>t</w:t>
      </w:r>
      <w:r>
        <w:rPr>
          <w:rFonts w:ascii="Times New Roman" w:hAnsi="Times New Roman"/>
          <w:sz w:val="24"/>
        </w:rPr>
        <w:t>h</w:t>
      </w:r>
      <w:r>
        <w:rPr>
          <w:rFonts w:ascii="Times New Roman" w:hAnsi="Times New Roman"/>
          <w:sz w:val="24"/>
          <w:lang w:val="en-US" w:bidi="en-US" w:eastAsia="en-US"/>
        </w:rPr>
        <w:t>e</w:t>
      </w:r>
      <w:r>
        <w:rPr>
          <w:rFonts w:ascii="Times New Roman" w:hAnsi="Times New Roman"/>
          <w:sz w:val="24"/>
        </w:rPr>
        <w:t xml:space="preserve"> plant by registered mail to the business address of the plant, person, firm, or corporation as registered with the board a certificate in appropriate form for public display, signed by </w:t>
      </w:r>
      <w:r>
        <w:rPr>
          <w:rFonts w:ascii="Times New Roman" w:hAnsi="Times New Roman"/>
          <w:sz w:val="24"/>
          <w:lang w:val="en-US" w:bidi="en-US" w:eastAsia="en-US"/>
        </w:rPr>
        <w:t>the president</w:t>
      </w:r>
      <w:r>
        <w:rPr>
          <w:rFonts w:ascii="Times New Roman" w:hAnsi="Times New Roman"/>
          <w:sz w:val="24"/>
        </w:rPr>
        <w:t>, if all concur, or a majority of the members of the board</w:t>
      </w:r>
      <w:r>
        <w:rPr>
          <w:rFonts w:ascii="Times New Roman" w:hAnsi="Times New Roman"/>
          <w:sz w:val="24"/>
          <w:lang w:val="en-US" w:bidi="en-US" w:eastAsia="en-US"/>
        </w:rPr>
        <w:t>,</w:t>
      </w:r>
      <w:r>
        <w:rPr>
          <w:rFonts w:ascii="Times New Roman" w:hAnsi="Times New Roman"/>
          <w:sz w:val="24"/>
        </w:rPr>
        <w:t xml:space="preserve"> and attested by the secretary-treasurer under the seal of the board, whether</w:t>
      </w:r>
      <w:r>
        <w:rPr>
          <w:rFonts w:ascii="Times New Roman" w:hAnsi="Times New Roman"/>
          <w:sz w:val="24"/>
          <w:lang w:val="en-US" w:bidi="en-US" w:eastAsia="en-US"/>
        </w:rPr>
        <w:t xml:space="preserve"> or not</w:t>
      </w:r>
      <w:r>
        <w:rPr>
          <w:rFonts w:ascii="Times New Roman" w:hAnsi="Times New Roman"/>
          <w:sz w:val="24"/>
        </w:rPr>
        <w:t xml:space="preserve"> </w:t>
      </w:r>
      <w:r>
        <w:rPr>
          <w:rFonts w:ascii="Times New Roman" w:hAnsi="Times New Roman"/>
          <w:sz w:val="24"/>
          <w:lang w:val="en-US" w:bidi="en-US" w:eastAsia="en-US"/>
        </w:rPr>
        <w:t>t</w:t>
      </w:r>
      <w:r>
        <w:rPr>
          <w:rFonts w:ascii="Times New Roman" w:hAnsi="Times New Roman"/>
          <w:sz w:val="24"/>
        </w:rPr>
        <w:t>he</w:t>
      </w:r>
      <w:r>
        <w:rPr>
          <w:rFonts w:ascii="Times New Roman" w:hAnsi="Times New Roman"/>
          <w:sz w:val="24"/>
          <w:lang w:val="en-US" w:bidi="en-US" w:eastAsia="en-US"/>
        </w:rPr>
        <w:t xml:space="preserve"> secretary-treasurer</w:t>
      </w:r>
      <w:r>
        <w:rPr>
          <w:rFonts w:ascii="Times New Roman" w:hAnsi="Times New Roman"/>
          <w:sz w:val="24"/>
        </w:rPr>
        <w:t xml:space="preserve"> agrees </w:t>
      </w:r>
      <w:r>
        <w:rPr>
          <w:rFonts w:ascii="Times New Roman" w:hAnsi="Times New Roman"/>
          <w:sz w:val="24"/>
          <w:lang w:val="en-US" w:bidi="en-US" w:eastAsia="en-US"/>
        </w:rPr>
        <w:t>with</w:t>
      </w:r>
      <w:r>
        <w:rPr>
          <w:rFonts w:ascii="Times New Roman" w:hAnsi="Times New Roman"/>
          <w:sz w:val="24"/>
        </w:rPr>
        <w:t xml:space="preserve"> the decision</w:t>
      </w:r>
      <w:r>
        <w:rPr>
          <w:rFonts w:ascii="Times New Roman" w:hAnsi="Times New Roman"/>
          <w:sz w:val="24"/>
          <w:lang w:val="en-US" w:bidi="en-US" w:eastAsia="en-US"/>
        </w:rPr>
        <w:t>. The</w:t>
      </w:r>
      <w:r>
        <w:rPr>
          <w:rFonts w:ascii="Times New Roman" w:hAnsi="Times New Roman"/>
          <w:sz w:val="24"/>
        </w:rPr>
        <w:t xml:space="preserve"> certificate shall state </w:t>
      </w:r>
      <w:r>
        <w:rPr>
          <w:rFonts w:ascii="Times New Roman" w:hAnsi="Times New Roman"/>
          <w:sz w:val="24"/>
        </w:rPr>
        <w:t xml:space="preserve">the date </w:t>
      </w:r>
      <w:r>
        <w:rPr>
          <w:rFonts w:ascii="Times New Roman" w:hAnsi="Times New Roman"/>
          <w:sz w:val="24"/>
        </w:rPr>
        <w:t>o</w:t>
      </w:r>
      <w:r>
        <w:rPr>
          <w:rFonts w:ascii="Times New Roman" w:hAnsi="Times New Roman"/>
          <w:sz w:val="24"/>
          <w:lang w:val="en-US" w:bidi="en-US" w:eastAsia="en-US"/>
        </w:rPr>
        <w:t>n</w:t>
      </w:r>
      <w:r>
        <w:rPr>
          <w:rFonts w:ascii="Times New Roman" w:hAnsi="Times New Roman"/>
          <w:sz w:val="24"/>
        </w:rPr>
        <w:t xml:space="preserve"> which the plant was found to be complete, the date of the examination, the date of issue of the certificate, and </w:t>
      </w:r>
      <w:r>
        <w:rPr>
          <w:rFonts w:ascii="Times New Roman" w:hAnsi="Times New Roman"/>
          <w:sz w:val="24"/>
          <w:lang w:val="en-US" w:bidi="en-US" w:eastAsia="en-US"/>
        </w:rPr>
        <w:t>any</w:t>
      </w:r>
      <w:r>
        <w:rPr>
          <w:rFonts w:ascii="Times New Roman" w:hAnsi="Times New Roman"/>
          <w:sz w:val="24"/>
        </w:rPr>
        <w:t xml:space="preserve"> other matters as </w:t>
      </w:r>
      <w:r>
        <w:rPr>
          <w:rFonts w:ascii="Times New Roman" w:hAnsi="Times New Roman"/>
          <w:sz w:val="24"/>
        </w:rPr>
        <w:t xml:space="preserve">the board </w:t>
      </w:r>
      <w:r>
        <w:rPr>
          <w:rFonts w:ascii="Times New Roman" w:hAnsi="Times New Roman"/>
          <w:sz w:val="24"/>
          <w:lang w:val="en-US" w:bidi="en-US" w:eastAsia="en-US"/>
        </w:rPr>
        <w:t>d</w:t>
      </w:r>
      <w:r>
        <w:rPr>
          <w:rFonts w:ascii="Times New Roman" w:hAnsi="Times New Roman"/>
          <w:sz w:val="24"/>
        </w:rPr>
        <w:t>eem</w:t>
      </w:r>
      <w:r>
        <w:rPr>
          <w:rFonts w:ascii="Times New Roman" w:hAnsi="Times New Roman"/>
          <w:sz w:val="24"/>
          <w:lang w:val="en-US" w:bidi="en-US" w:eastAsia="en-US"/>
        </w:rPr>
        <w:t>s</w:t>
      </w:r>
      <w:r>
        <w:rPr>
          <w:rFonts w:ascii="Times New Roman" w:hAnsi="Times New Roman"/>
          <w:sz w:val="24"/>
        </w:rPr>
        <w:t xml:space="preserve"> advisable to establish the legal qualification of the plant.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Source:</w:t>
      </w:r>
      <w:r>
        <w:rPr>
          <w:rFonts w:ascii="Times New Roman" w:hAnsi="Times New Roman"/>
          <w:sz w:val="24"/>
        </w:rPr>
        <w:t xml:space="preserve"> SL 1975, ch 16, § 1; 12 SDR 151, 12 SDR 155, effective July 1, 1986</w:t>
      </w:r>
      <w:r>
        <w:rPr>
          <w:rFonts w:ascii="Times New Roman" w:hAnsi="Times New Roman"/>
          <w:sz w:val="24"/>
        </w:rPr>
        <w:t>; 46 SDR 42, effective October 3, 2019</w:t>
      </w:r>
      <w:r>
        <w:rPr>
          <w:rFonts w:ascii="Times New Roman" w:hAnsi="Times New Roman"/>
          <w:sz w:val="24"/>
        </w:rP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General Authority:</w:t>
      </w:r>
      <w:r>
        <w:rPr>
          <w:rFonts w:ascii="Times New Roman" w:hAnsi="Times New Roman"/>
          <w:sz w:val="24"/>
        </w:rPr>
        <w:t xml:space="preserve"> SDCL 36-13-6</w:t>
      </w:r>
      <w:r>
        <w:rPr>
          <w:rFonts w:ascii="Times New Roman" w:hAnsi="Times New Roman"/>
          <w:sz w:val="24"/>
          <w:lang w:val="en-US" w:bidi="en-US" w:eastAsia="en-US"/>
        </w:rPr>
        <w:t>.1(7)</w:t>
      </w:r>
      <w:r>
        <w:rPr>
          <w:rFonts w:ascii="Times New Roman" w:hAnsi="Times New Roman"/>
          <w:sz w:val="24"/>
        </w:rP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Law Implemented:</w:t>
      </w:r>
      <w:r>
        <w:rPr>
          <w:rFonts w:ascii="Times New Roman" w:hAnsi="Times New Roman"/>
          <w:sz w:val="24"/>
        </w:rPr>
        <w:t xml:space="preserve"> SDCL 36-13-10.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</w:p>
    <w:sectPr>
      <w:type w:val="nextPage"/>
      <w:pgMar w:left="1800" w:right="1800" w:top="1440" w:bottom="1440" w:header="720" w:footer="720" w:gutter="0"/>
      <w:cols w:equalWidth="1" w:space="720"/>
    </w:sectPr>
  </w:body>
</w:document>
</file>

<file path=word/numbering.xml><?xml version="1.0" encoding="utf-8"?>
<w:numbering xmlns:w="http://schemas.openxmlformats.org/wordprocessingml/2006/main"/>
</file>

<file path=word/settings.xml><?xml version="1.0" encoding="utf-8"?>
<w:settings xmlns:w="http://schemas.openxmlformats.org/wordprocessingml/2006/main">
  <w:displayBackgroundShape w:val="0"/>
  <w:defaultTabStop w:val="720"/>
  <w:autoHyphenation w:val="0"/>
  <w:evenAndOddHeaders w:val="0"/>
  <w:compat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w="http://schemas.openxmlformats.org/wordprocessingml/2006/main">
  <w:docDefaults>
    <w:rPrDefault>
      <w:rPr>
        <w:rFonts w:ascii="Times New Roman" w:hAnsi="Times New Roman"/>
        <w:b w:val="0"/>
        <w:i w:val="0"/>
        <w:caps w:val="0"/>
        <w:strike w:val="0"/>
        <w:noProof w:val="0"/>
        <w:vanish w:val="0"/>
        <w:color w:val="auto"/>
        <w:sz w:val="20"/>
        <w:u w:val="none"/>
        <w:shd w:val="clear" w:color="auto" w:fill="auto"/>
        <w:vertAlign w:val="baseline"/>
        <w:lang w:val="en-US" w:bidi="ar-SA" w:eastAsia="en-US"/>
      </w:rPr>
    </w:rPrDefault>
    <w:pPrDefault>
      <w:pPr>
        <w:keepNext w:val="0"/>
        <w:keepLines w:val="0"/>
        <w:widowControl w:val="1"/>
        <w:suppressLineNumbers w:val="0"/>
        <w:shd w:val="clear" w:fill="auto"/>
        <w:suppressAutoHyphens w:val="0"/>
        <w:spacing w:lineRule="auto" w:line="240" w:before="0" w:after="0" w:beforeAutospacing="0" w:afterAutospacing="0"/>
        <w:ind w:firstLine="0" w:left="0" w:right="0"/>
        <w:contextualSpacing w:val="0"/>
        <w:jc w:val="left"/>
      </w:pPr>
    </w:pPrDefault>
  </w:docDefaults>
  <w:style w:type="paragraph" w:styleId="P0" w:default="1">
    <w:name w:val="Normal"/>
    <w:qFormat/>
    <w:pPr/>
    <w:rPr>
      <w:rFonts w:ascii="Times" w:hAnsi="Times"/>
    </w:rPr>
  </w:style>
  <w:style w:type="character" w:styleId="C0" w:default="1">
    <w:name w:val="Default Paragraph Font"/>
    <w:semiHidden/>
    <w:rPr/>
  </w:style>
  <w:style w:type="character" w:styleId="C1">
    <w:name w:val="Line Number"/>
    <w:basedOn w:val="C0"/>
    <w:semiHidden/>
    <w:rPr/>
  </w:style>
  <w:style w:type="character" w:styleId="C2">
    <w:name w:val="Hyperlink"/>
    <w:rPr>
      <w:color w:val="0000FF"/>
      <w:u w:val="single"/>
    </w:rPr>
  </w:style>
  <w:style w:type="table" w:styleId="T0" w:default="1">
    <w:name w:val="Normal Table"/>
    <w:semiHidden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table" w:styleId="T1">
    <w:name w:val="Table Simple 1"/>
    <w:basedOn w:val="T0"/>
    <w:tblPr>
      <w:tblBorders>
        <w:top w:val="single" w:sz="4" w:space="0" w:shadow="0" w:frame="0" w:color="000000"/>
        <w:left w:val="single" w:sz="4" w:space="0" w:shadow="0" w:frame="0" w:color="000000"/>
        <w:bottom w:val="single" w:sz="4" w:space="0" w:shadow="0" w:frame="0" w:color="000000"/>
        <w:right w:val="single" w:sz="4" w:space="0" w:shadow="0" w:frame="0" w:color="000000"/>
        <w:insideH w:val="single" w:sz="4" w:space="0" w:shadow="0" w:frame="0" w:color="000000"/>
        <w:insideV w:val="single" w:sz="4" w:space="0" w:shadow="0" w:frame="0" w:color="000000"/>
      </w:tblBorders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numbering" w:styleId="N0">
    <w:name w:val="No List"/>
  </w:style>
</w:styles>
</file>

<file path=word/_rels/document.xml.rels>&#65279;<?xml version="1.0" encoding="utf-8"?><Relationships xmlns="http://schemas.openxmlformats.org/package/2006/relationships"><Relationship Id="RelStyle1" Type="http://schemas.openxmlformats.org/officeDocument/2006/relationships/styles" Target="styles.xml" /><Relationship Id="RelNum1" Type="http://schemas.openxmlformats.org/officeDocument/2006/relationships/numbering" Target="numbering.xml" /><Relationship Id="RelSettings1" Type="http://schemas.openxmlformats.org/officeDocument/2006/relationships/settings" Target="settings.xml" /><Relationship Id="RelTheme1" Type="http://schemas.openxmlformats.org/officeDocument/2006/relationships/theme" Target="theme/theme1.xml" 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core.xml><?xml version="1.0" encoding="utf-8"?>
<cp:coreProperties xmlns:dc="http://purl.org/dc/elements/1.1/" xmlns:dcterms="http://purl.org/dc/terms/" xmlns:dcmitype="http://purl.org/dc/dcmitype/" xmlns:xsi="http://www.w3.org/2001/XMLSchema-instance" xmlns:cp="http://schemas.openxmlformats.org/package/2006/metadata/core-properties">
  <dc:creator>lrpr15454</dc:creator>
  <dcterms:created xsi:type="dcterms:W3CDTF">2004-06-28T20:07:00Z</dcterms:created>
  <cp:lastModifiedBy>Rhonda Purkapile</cp:lastModifiedBy>
  <dcterms:modified xsi:type="dcterms:W3CDTF">2019-09-23T19:35:04Z</dcterms:modified>
  <cp:revision>3</cp:revision>
</cp:coreProperties>
</file>