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20:39:05:04.  Fee to operate a barber shop.</w:t>
      </w:r>
      <w:r>
        <w:rPr>
          <w:rFonts w:ascii="Times New Roman" w:hAnsi="Times New Roman"/>
          <w:sz w:val="24"/>
        </w:rPr>
        <w:t xml:space="preserve"> The fee to operate a barber shop </w:t>
      </w:r>
      <w:r>
        <w:rPr>
          <w:rFonts w:ascii="Times New Roman" w:hAnsi="Times New Roman"/>
          <w:sz w:val="24"/>
          <w:lang w:val="en-US" w:bidi="en-US" w:eastAsia="en-US"/>
        </w:rPr>
        <w:t>for the initial license year is two hundred fifty dollars plus twenty dollars for each barber chair. The fee for a barber shop license annual renewal is two hundred twenty-five dollars plus tw</w:t>
      </w:r>
      <w:r>
        <w:rPr>
          <w:rFonts w:ascii="Times New Roman" w:hAnsi="Times New Roman"/>
          <w:sz w:val="24"/>
          <w:lang w:val="en-US" w:bidi="en-US" w:eastAsia="en-US"/>
        </w:rPr>
        <w:t>enty dollars for each barber chair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6 SDR 106, effective May 12, 1980; 12 SDR 151, 12 SDR 155, effective July 1, 1986; 21 SDR 214, effective June 20, 1995; 33 SDR 212, adopted May 15, 2007, effective July 1, 2007</w:t>
      </w:r>
      <w:r>
        <w:rPr>
          <w:rFonts w:ascii="Times New Roman" w:hAnsi="Times New Roman"/>
          <w:sz w:val="24"/>
          <w:lang w:val="en-US" w:bidi="en-US" w:eastAsia="en-US"/>
        </w:rPr>
        <w:t>; 51 SDR 108, effective April 2</w:t>
      </w:r>
      <w:r>
        <w:rPr>
          <w:rFonts w:ascii="Times New Roman" w:hAnsi="Times New Roman"/>
          <w:sz w:val="24"/>
          <w:lang w:val="en-US" w:bidi="en-US" w:eastAsia="en-US"/>
        </w:rPr>
        <w:t>8, 2025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36-14-9, 36-14-27.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36-14-27.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2007-06-01T18:37:00Z</dcterms:created>
  <cp:lastModifiedBy>Kelly Thompson</cp:lastModifiedBy>
  <dcterms:modified xsi:type="dcterms:W3CDTF">2025-04-17T16:20:52Z</dcterms:modified>
  <cp:revision>4</cp:revision>
</cp:coreProperties>
</file>