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919BBB2" Type="http://schemas.openxmlformats.org/officeDocument/2006/relationships/officeDocument" Target="/word/document.xml" /><Relationship Id="coreR919BBB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5:02:09:02.  Approval of automatic tabulating systems required before distribution.</w:t>
      </w:r>
      <w:r>
        <w:t xml:space="preserve"> Prior to distribution in South Dakota, a company or corporation dealing in automatic tabulating</w:t>
      </w:r>
      <w:r>
        <w:t xml:space="preserve"> or electronic ballot marking systems shall give written notice to the state board of elections and demonstrate that its system complies with SDCL 12-17B-2 and § 5:02:09:02.01 or 5:02:09:02.03 and is certified as fulfilling the requirements of the Election Assistance Commission 20</w:t>
      </w:r>
      <w:r>
        <w:rPr>
          <w:lang w:val="en-US" w:bidi="en-US" w:eastAsia="en-US"/>
        </w:rPr>
        <w:t>15</w:t>
      </w:r>
      <w:r>
        <w:t xml:space="preserve"> voting system standards by an independent test authority accredited by the Election Assistance Commission. If the State Board of Elections approves the system, it shall issue a certificate of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Any changes or modifications in an approved automatic tabulating</w:t>
      </w:r>
      <w:r>
        <w:t xml:space="preserve"> or electronic ballot marking system may be certified by the State Board of Elections with or without the demonstration described in this section for initial approval. The modification for the already approved system must have been certified as fulfilling the requirements of the Election Assistance Commission voting system 20</w:t>
      </w:r>
      <w:r>
        <w:rPr>
          <w:lang w:val="en-US" w:bidi="en-US" w:eastAsia="en-US"/>
        </w:rPr>
        <w:t>15</w:t>
      </w:r>
      <w:r>
        <w:t xml:space="preserve"> standards by an independent test authority accredited by the Election Assistance Commission or been certified to meet the national standard by another state. Any change or modification determined to be de minimis by the independent test authority does not need state board of elections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 SDR 5, effective July 30, 1975; 6 SDR 25, effective September 24, 1979; 16 SDR 203, effective May 28, 1990; 21 SDR 77, effective October 24, 1994; 22 SDR 95, effective January 18, 1996; 29 SDR 113, effective January 30, 2003; 32 SDR 109, effective December 26, 2005; 33 SDR 230, effective July 1, 2007; 35 SDR 306, effective July 1, 2009; 46 SDR 42, effective September 30, 2019</w:t>
      </w:r>
      <w:r>
        <w:rPr>
          <w:rFonts w:ascii="Times New Roman" w:hAnsi="Times New Roman"/>
          <w:sz w:val="24"/>
        </w:rPr>
        <w:t>; 47 SDR 37, effective October 6,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12-17B-17(1).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12-17B-2.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2009-06-24T15:57:00Z</dcterms:created>
  <cp:lastModifiedBy>Rhonda Purkapile</cp:lastModifiedBy>
  <dcterms:modified xsi:type="dcterms:W3CDTF">2020-09-29T20:08:28Z</dcterms:modified>
  <cp:revision>6</cp:revision>
</cp:coreProperties>
</file>