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C9034B0" Type="http://schemas.openxmlformats.org/officeDocument/2006/relationships/officeDocument" Target="/word/document.xml" /><Relationship Id="coreR5C9034B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20:42:03:06.  License specific requirements for individual licensure applicants.</w:t>
      </w:r>
      <w:r>
        <w:t xml:space="preserve"> An applicant for any of the following specific individual licenses shall submit the following additional information on forms provided by the commission: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Student license: a certificate of admission by the owner or school administrator of a licensed South Dakota school;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Cosmetologist or nail technician license: information relating to school and education and the number of education hours or equivalent credit hours received;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Esthetician license: information relating to school and education and that the applicant has completed a minimum of six hundred hours of education or equivalent credit hours in an approved and licensed cosmetology or esthetics school;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(4)  Temporary license: information required for a cosmetologist, esthetician, or nail technician license, a certificate of graduation from a licensed school, and the location where the applicant intends to practice under a temporary license;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(5)  Temporary permit for reciprocity: the salon name and address where the applicant intends to practice under the temporary permit;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  <w:t>(6)  </w:t>
      </w:r>
      <w:r>
        <w:t xml:space="preserve">Apprentice license: in addition to the requirements in SDCL 36-15-42, a signed, certified letter from the salon owner stating the name and address of the salon where the apprentice education will be provided and the name and license of the </w:t>
      </w:r>
      <w:r>
        <w:t>instructor</w:t>
      </w:r>
      <w:r>
        <w:rPr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>(</w:t>
      </w:r>
      <w:r>
        <w:rPr>
          <w:lang w:val="en-US" w:bidi="en-US" w:eastAsia="en-US"/>
        </w:rPr>
        <w:t xml:space="preserve">7)  Instructor license: must meet the requirements of SDCL 36-15-25 and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20:42:</w:t>
      </w:r>
      <w:r>
        <w:rPr>
          <w:rFonts w:ascii="Times New Roman" w:hAnsi="Times New Roman"/>
          <w:lang w:val="en-US" w:bidi="en-US" w:eastAsia="en-US"/>
        </w:rPr>
        <w:t>08:03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SL 1975, ch 16, § 1; 6 SDR 10, effective August 12, 1979; 12 SDR 151, 12 SDR 155, effective July 1, 1986; 23 SDR 25, effective August 26, 1996; 24 SDR 2, effective July 23, 1997; 28 SDR 24, effective August 28, 2001; 29 SDR 176, effective July 1, 2003; 31 SDR 62, effective November 4, 2004; 32 SDR 32, effective August 29, 2005; 33 SDR 226, effective July 1, 2007; 39 SDR 129, effective January 28, 2013</w:t>
      </w:r>
      <w:r>
        <w:rPr>
          <w:lang w:val="en-US" w:bidi="en-US" w:eastAsia="en-US"/>
        </w:rPr>
        <w:t>; 45 SDR 31, effective September 10,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36-15-2.3, 36-15-13(1), 36-15-26.2.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36-15-2.3, 36-15-17, 36-15-17.1, 36-15-19.2, 36-15-22, 36-15-25, </w:t>
      </w:r>
      <w:r>
        <w:t>36-15-33, 36-15-42, 36-15-50, 36-15-50.1.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2013-02-04T16:32:00Z</dcterms:created>
  <cp:lastModifiedBy>Rhonda Purkapile</cp:lastModifiedBy>
  <dcterms:modified xsi:type="dcterms:W3CDTF">2018-08-30T15:24:28Z</dcterms:modified>
  <cp:revision>3</cp:revision>
</cp:coreProperties>
</file>