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C8FCDC5" Type="http://schemas.openxmlformats.org/officeDocument/2006/relationships/officeDocument" Target="/word/document.xml" /><Relationship Id="coreR4C8FCDC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20:42:03:06.01.  Applicant for licensure by reciprocity allowed credit for work experience.</w:t>
      </w:r>
      <w:r>
        <w:t xml:space="preserve"> An applicant for licensure by reciprocity may be allowed credit for work experience as follows</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  Cosmetologist license: a maximum of </w:t>
      </w:r>
      <w:r>
        <w:rPr>
          <w:lang w:val="en-US" w:bidi="en-US" w:eastAsia="en-US"/>
        </w:rPr>
        <w:t>75</w:t>
      </w:r>
      <w:r>
        <w:t>0 hours of the school education hours required in § 20:42:06:09 may be earned through work experience. Two hours of work experience equals one hour of school education. If the applicant obtained the work experience more than five years before the date of the application, the applicant must take a commission-approved safety and infection control procedures course in order to receive credit for the work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Nail technician license: a maximum of 200 hours of the school education hours required in § 20:42:06:09.01 may be earned through work experience. Two hours of work experience equals one hour of school education. If the applicant obtained the work experience more than five years before the date of the application, the applicant must take a commission-approved safety and infection control procedures course in order to receive credit for the work experience;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(3)  Esthetician license: a maximum of 3</w:t>
      </w:r>
      <w:r>
        <w:rPr>
          <w:lang w:val="en-US" w:bidi="en-US" w:eastAsia="en-US"/>
        </w:rPr>
        <w:t>0</w:t>
      </w:r>
      <w:r>
        <w:t>0 hours of the school education hours required in § 20:42:06:09.02 may be earned through work experience. Two hours of work experience equals one hour of school education. If the applicant obtained the work experience more than five years before the date of the application, the applicant must take a commission-approved safety and infection control procedures course in order to receive credit for the work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9 SDR 96, effective January 30, 1983; 12 SDR 151, 12 SDR 155, effective July 1, 1986; 14 SDR 64, effective November 2, 1987; 24 SDR 2, effective July 23, 1997; 28 SDR 24, effective August 28, 2001; 29 SDR 176, effective July 1, 2003; 31 SDR 62, effective November 4, 2004; 39 SDR 129, effective January 28, 2013; 47 SDR 8, effective August 3,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36-15-13(14).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36-15-19.2.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2013-02-04T16:33:00Z</dcterms:created>
  <cp:lastModifiedBy>Rhonda Purkapile</cp:lastModifiedBy>
  <dcterms:modified xsi:type="dcterms:W3CDTF">2020-08-03T19:24:36Z</dcterms:modified>
  <cp:revision>5</cp:revision>
</cp:coreProperties>
</file>