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D94E966" Type="http://schemas.openxmlformats.org/officeDocument/2006/relationships/officeDocument" Target="/word/document.xml" /><Relationship Id="coreR2D94E96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20:42:03:06.03.  Foreign-educated applicants for licensure.</w:t>
      </w:r>
      <w:r>
        <w:t xml:space="preserve"> In addition to the requirements of SDCL 36-15-15 and 36-15-19.2, an applicant from a foreign country shall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h</w:t>
      </w:r>
      <w:r>
        <w:t xml:space="preserve">ave successfully completed </w:t>
      </w:r>
      <w:r>
        <w:rPr>
          <w:lang w:val="en-US" w:bidi="en-US" w:eastAsia="en-US"/>
        </w:rPr>
        <w:t>225</w:t>
      </w:r>
      <w:r>
        <w:t xml:space="preserve"> cosmetology education hours, </w:t>
      </w:r>
      <w:r>
        <w:rPr>
          <w:lang w:val="en-US" w:bidi="en-US" w:eastAsia="en-US"/>
        </w:rPr>
        <w:t>9</w:t>
      </w:r>
      <w:r>
        <w:t>0 esthetics education hours, or 60 nail technician education hours, as applicable, at a school approved by the commission. The education shall include federal safety requirements (OSHA and FDA) for cosmetology, South Dakota cosmetology safety and infection control procedures, and United States cosmetic products.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29 SDR 176, effective July 1, 2003; 39 SDR 129, effective January 28, 2013</w:t>
      </w:r>
      <w:r>
        <w:t>; 47 SDR 8, effective August 3,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36-15-13(1).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36-15-19.2.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2013-02-04T16:35:00Z</dcterms:created>
  <cp:lastModifiedBy>Rhonda Purkapile</cp:lastModifiedBy>
  <dcterms:modified xsi:type="dcterms:W3CDTF">2020-07-21T19:04:51Z</dcterms:modified>
  <cp:revision>3</cp:revision>
</cp:coreProperties>
</file>