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8A26D9C" Type="http://schemas.openxmlformats.org/officeDocument/2006/relationships/officeDocument" Target="/word/document.xml" /><Relationship Id="coreR48A26D9C"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20:42:03:12.  Renewal requirements and renewal dates of licenses.</w:t>
      </w:r>
      <w:r>
        <w:t xml:space="preserve"> A license renewal application, along with the appropriate renewal fee, shall be submitted to the commission or postmarked by the annual license renewal date for all licenses and permits issued pursuant to SDCL chapter 36-15.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The annual license renewal dates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(1)  Cosmetologist, nail technician, esthetician, </w:t>
      </w:r>
      <w:r>
        <w:t xml:space="preserve">and </w:t>
      </w:r>
      <w:r>
        <w:t>instructor: application for renewals shall be submitted on or before the licensee's birth date as shown as the expiration date on the face of the current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All salons and booths: application for renewals shall be submitted on or before the anniversary date of the initial license as shown as the expiration date on the face of the current license.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 name change request must be accompanied by a legal document showing the previous</w:t>
      </w:r>
      <w:r>
        <w:rPr>
          <w:lang w:val="en-US" w:bidi="en-US" w:eastAsia="en-US"/>
        </w:rPr>
        <w:t xml:space="preserve"> </w:t>
      </w:r>
      <w:r>
        <w:t>name and the new legal name.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If a licensee has met the requirements of this section, the licensee may continue to practice pending issuance of the renewed license. Any license that is not renewed pursuant to the requirements of this section shall lapse.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SL 1975, ch 16, § 1; 6 SDR 10, effective August 12, 1979; 12 SDR 151, 12 SDR 155, effective July 1, 1986; 29 SDR 176, effective July 1, 2003; 31 SDR 62, adopted October 15, 2004, effective January 1, 2006; 39 SDR 129, effective January 28, 2013</w:t>
      </w:r>
      <w:r>
        <w:rPr>
          <w:lang w:val="en-US" w:bidi="en-US" w:eastAsia="en-US"/>
        </w:rPr>
        <w:t>; 43 SDR 176, effective July 3, 2017</w:t>
      </w:r>
      <w:r>
        <w:t>; 45 SDR 31, effective September 10,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36-15-2.4,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36-15-2.4, 36-15-13(1).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2018-08-30T15:24:56Z</dcterms:created>
  <cp:lastModifiedBy>Rhonda Purkapile</cp:lastModifiedBy>
  <dcterms:modified xsi:type="dcterms:W3CDTF">2018-08-30T15:26:26Z</dcterms:modified>
  <cp:revision>2</cp:revision>
</cp:coreProperties>
</file>