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4F664D8B" Type="http://schemas.openxmlformats.org/officeDocument/2006/relationships/officeDocument" Target="/word/document.xml" /><Relationship Id="coreR4F664D8B"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20:42:04:04.  Salon and booth equipment requirements.</w:t>
      </w:r>
      <w:r>
        <w:t xml:space="preserve"> Each salon or booth must have the following equipment available at all times: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  A first aid kit readily accessible to all persons working in the salon. The kit must contain small adhesive bandages, disposable latex or hypo-allergenic gloves, gauze, and antiseptic;</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 xml:space="preserve">(2)  A 5-pound ABC fire extinguisher or its equivalent for each 1,500 square feet of space occupied by the salon. Extinguishers must be located in a </w:t>
      </w:r>
      <w:r>
        <w:rPr>
          <w:lang w:val="en-US" w:bidi="en-US" w:eastAsia="en-US"/>
        </w:rPr>
        <w:t>readily accessible</w:t>
      </w:r>
      <w:r>
        <w:t xml:space="preserve"> location and must always be in a condition for use;</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(3)  A sufficient number of electric outlets so that no cord or other electrical connection constitutes an obstacle or fire hazard to the clients or to persons working in the salon or booth;</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(4)  </w:t>
      </w:r>
      <w:r>
        <w:rPr>
          <w:lang w:val="en-US" w:bidi="en-US" w:eastAsia="en-US"/>
        </w:rPr>
        <w:t>Clean, disinfected</w:t>
      </w:r>
      <w:r>
        <w:t xml:space="preserve"> combs and brushes </w:t>
      </w:r>
      <w:r>
        <w:rPr>
          <w:lang w:val="en-US" w:bidi="en-US" w:eastAsia="en-US"/>
        </w:rPr>
        <w:t>available for use</w:t>
      </w:r>
      <w:r>
        <w:t xml:space="preserve">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(5)  </w:t>
      </w:r>
      <w:r>
        <w:rPr>
          <w:lang w:val="en-US" w:bidi="en-US" w:eastAsia="en-US"/>
        </w:rPr>
        <w:t>A</w:t>
      </w:r>
      <w:r>
        <w:t xml:space="preserve"> clean towel or linen </w:t>
      </w:r>
      <w:r>
        <w:rPr>
          <w:lang w:val="en-US" w:bidi="en-US" w:eastAsia="en-US"/>
        </w:rPr>
        <w:t xml:space="preserve">available </w:t>
      </w:r>
      <w:r>
        <w:rPr>
          <w:lang w:val="en-US" w:bidi="en-US" w:eastAsia="en-US"/>
        </w:rPr>
        <w:t>to be</w:t>
      </w:r>
      <w:r>
        <w:rPr>
          <w:lang w:val="en-US" w:bidi="en-US" w:eastAsia="en-US"/>
        </w:rPr>
        <w:t xml:space="preserve"> use</w:t>
      </w:r>
      <w:r>
        <w:rPr>
          <w:lang w:val="en-US" w:bidi="en-US" w:eastAsia="en-US"/>
        </w:rPr>
        <w:t>d</w:t>
      </w:r>
      <w:r>
        <w:t xml:space="preserve">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(6)  Separate closed containers labeled for clean or soiled towels or linens;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(7)  Separate closed containers</w:t>
      </w:r>
      <w:r>
        <w:rPr>
          <w:lang w:val="en-US" w:bidi="en-US" w:eastAsia="en-US"/>
        </w:rPr>
        <w:t xml:space="preserve"> labeled</w:t>
      </w:r>
      <w:r>
        <w:t xml:space="preserve"> for used or contaminated implements</w:t>
      </w:r>
      <w:r>
        <w:rPr>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(8)  A station for each working licensee with its own clean</w:t>
      </w:r>
      <w:r>
        <w:rPr>
          <w:lang w:val="en-US" w:bidi="en-US" w:eastAsia="en-US"/>
        </w:rPr>
        <w:t>,</w:t>
      </w:r>
      <w:r>
        <w:t xml:space="preserve"> closed</w:t>
      </w:r>
      <w:r>
        <w:rPr>
          <w:lang w:val="en-US" w:bidi="en-US" w:eastAsia="en-US"/>
        </w:rPr>
        <w:t>, and labeled</w:t>
      </w:r>
      <w:r>
        <w:t xml:space="preserve"> container for storage of all clean</w:t>
      </w:r>
      <w:r>
        <w:rPr>
          <w:lang w:val="en-US" w:bidi="en-US" w:eastAsia="en-US"/>
        </w:rPr>
        <w:t xml:space="preserve"> and disinfected</w:t>
      </w:r>
      <w:r>
        <w:t xml:space="preserve"> implements used in</w:t>
      </w:r>
      <w:r>
        <w:rPr>
          <w:lang w:val="en-US" w:bidi="en-US" w:eastAsia="en-US"/>
        </w:rPr>
        <w:t xml:space="preserve"> </w:t>
      </w:r>
      <w:r>
        <w:t>direct contact with clients;</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(9)  For each licensee practicing nail technology on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One nail table with a lamp;</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(b)  One manicure chair;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 xml:space="preserve">(c)  One pedicure station with chairs for the client and licensee; </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(d)  One covered waste container that is emptied at least daily;</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(e)  A nail applicator brush</w:t>
      </w:r>
      <w:r>
        <w: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rPr>
          <w:lang w:val="en-US" w:bidi="en-US" w:eastAsia="en-US"/>
        </w:rPr>
        <w:tab/>
        <w:tab/>
        <w:t>(f)  Clean and disinfected buffers and files must be used on each client;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(10)  For each licensee practicing esthetics on a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(a)  One facial chair;</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(b)  One additional chair; and</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tab/>
        <w:t>(c)  </w:t>
      </w:r>
      <w:r>
        <w:rPr>
          <w:lang w:val="en-US" w:bidi="en-US" w:eastAsia="en-US"/>
        </w:rPr>
        <w:t>Clean and disinfected</w:t>
      </w:r>
      <w:r>
        <w:t xml:space="preserve"> esthetics tools and implements </w:t>
      </w:r>
      <w:r>
        <w:rPr>
          <w:lang w:val="en-US" w:bidi="en-US" w:eastAsia="en-US"/>
        </w:rPr>
        <w:t>must be</w:t>
      </w:r>
      <w:r>
        <w:t xml:space="preserve"> used on each client.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Source:</w:t>
      </w:r>
      <w:r>
        <w:t xml:space="preserve"> SL 1975, ch 16, § 1; 6 SDR 10, effective August 12, 1979; 9 SDR 96, effective January 30, 1983; 12 SDR 151, 12 SDR 155, effective July 1, 1986; 14 SDR 64, effective November 2, 1987; 23 SDR 25, effective August 26, 1996; 24 SDR 2, effective July 23, 1997; 26 SDR 18, effective August 15, 1999; 28 SDR 24, effective August 28, 2001; 29 SDR 176, effective July 1, 2003; 39 SDR 129, effective January 28, 2013; 43 SDR 176, effective July 3, 2017</w:t>
      </w:r>
      <w:r>
        <w:rPr>
          <w:lang w:val="en-US" w:bidi="en-US" w:eastAsia="en-US"/>
        </w:rPr>
        <w:t xml:space="preserve">; </w:t>
      </w:r>
      <w:r>
        <w:rPr>
          <w:rFonts w:ascii="Times New Roman" w:hAnsi="Times New Roman"/>
          <w:sz w:val="24"/>
        </w:rPr>
        <w:t>46 SDR 46, effective October 3, 2019</w:t>
      </w:r>
      <w: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General Authority:</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r>
        <w:tab/>
      </w:r>
      <w:r>
        <w:rPr>
          <w:b w:val="1"/>
        </w:rPr>
        <w:t>Law Implemented:</w:t>
      </w:r>
      <w:r>
        <w:t xml:space="preserve"> SDCL 36-15-13(4)(5).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jc w:val="both"/>
      </w:pPr>
    </w:p>
    <w:sectPr>
      <w:type w:val="nextPage"/>
      <w:pgMar w:left="1440" w:right="1440" w:top="1440" w:bottom="1440"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Times New Roman" w:hAnsi="Times New Roman"/>
        <w:b w:val="0"/>
        <w:i w:val="0"/>
        <w:caps w:val="0"/>
        <w:strike w:val="0"/>
        <w:noProof w:val="0"/>
        <w:vanish w:val="0"/>
        <w:color w:val="000000"/>
        <w:sz w:val="20"/>
        <w:u w:val="none"/>
        <w:shd w:val="clear" w:color="auto" w:fill="auto"/>
        <w:vertAlign w:val="baseline"/>
        <w:lang w:val="en-US" w:bidi="ar-SA" w:eastAsia="en-US"/>
      </w:rPr>
    </w:rPrDefault>
    <w:pPrDefault>
      <w:pPr>
        <w:keepNext w:val="0"/>
        <w:keepLines w:val="0"/>
        <w:widowControl w:val="1"/>
        <w:suppressLineNumbers w:val="0"/>
        <w:shd w:val="clear" w:fill="auto"/>
        <w:suppressAutoHyphens w:val="0"/>
        <w:spacing w:lineRule="auto" w:line="240" w:before="0" w:after="0" w:beforeAutospacing="0" w:afterAutospacing="0"/>
        <w:ind w:firstLine="0" w:left="0" w:right="0"/>
        <w:contextualSpacing w:val="0"/>
        <w:jc w:val="left"/>
      </w:pPr>
    </w:pPrDefault>
  </w:docDefaults>
  <w:style w:type="paragraph" w:styleId="P0" w:default="1">
    <w:name w:val="Normal"/>
    <w:qFormat/>
    <w:pPr/>
    <w:rPr>
      <w:sz w:val="24"/>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qFormat/>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terms:created xsi:type="dcterms:W3CDTF">2019-09-30T18:42:18Z</dcterms:created>
  <cp:lastModifiedBy>Rhonda Purkapile</cp:lastModifiedBy>
  <dcterms:modified xsi:type="dcterms:W3CDTF">2019-09-30T18:50:23Z</dcterms:modified>
  <cp:revision>2</cp:revision>
</cp:coreProperties>
</file>