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20:42:04:04.01.  Electric file or drill requirements.</w:t>
      </w:r>
      <w:r>
        <w:t xml:space="preserve"> The requirements for an electric file or drill and the attachments utilized in any nail procedure are as follows: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instrument shall be specifically designed for use on the human nail;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individual utilizing the instrument and the attachments shall provide documentary proof of compliance with subsection (1) of this section upon demand; and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Instrument attachments shall be used according to the manufacturer's recommendations.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18, effective August 15, 1999; 29 SDR 176, effective July 1, 2003; 31 SDR 62, effective November 4, 2004; 39 SDR 129, effective January 28, 2013.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36-15-13(4)(5).</w:t>
      </w:r>
    </w:p>
    <w:p w:rsidR="000F0BD5" w:rsidRDefault="000F0BD5" w:rsidP="00D90B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F0BD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0B8A"/>
    <w:rsid w:val="00086AE4"/>
    <w:rsid w:val="000F0BD5"/>
    <w:rsid w:val="00477B21"/>
    <w:rsid w:val="008B09BA"/>
    <w:rsid w:val="009B13CF"/>
    <w:rsid w:val="00BD2079"/>
    <w:rsid w:val="00D90B8A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2013-02-04T17:02:00Z</dcterms:created>
  <dcterms:modified xsi:type="dcterms:W3CDTF">2013-02-04T17:02:00Z</dcterms:modified>
</cp:coreProperties>
</file>