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BC3898" Type="http://schemas.openxmlformats.org/officeDocument/2006/relationships/officeDocument" Target="/word/document.xml" /><Relationship Id="coreRBC3898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20:42:06:17.  Field trips.</w:t>
      </w:r>
      <w:r>
        <w:t xml:space="preserve"> A student may receive a maximum of 32 hours credit for cosmetology educational field trips, 16 hours credit for esthetic educational field trips, or 4 hours credit for nail technology educational field trips if the trip has been approved by the commission. For approval the school must complete a field trip form and attach a lesson plan. The students shall be accompanied by a</w:t>
      </w:r>
      <w:r>
        <w:rPr>
          <w:lang w:val="en-US" w:bidi="en-US" w:eastAsia="en-US"/>
        </w:rPr>
        <w:t>n</w:t>
      </w:r>
      <w:r>
        <w:t xml:space="preserve"> </w:t>
      </w:r>
      <w:r>
        <w:t xml:space="preserve">instructor. One licensed </w:t>
      </w:r>
      <w:r>
        <w:t xml:space="preserve">instructor shall accompany no more than </w:t>
      </w:r>
      <w:r>
        <w:rPr>
          <w:lang w:val="en-US" w:bidi="en-US" w:eastAsia="en-US"/>
        </w:rPr>
        <w:t>15</w:t>
      </w:r>
      <w:r>
        <w:t xml:space="preserve"> students.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29 SDR 176, effective July 1, 2003; 32 SDR 32, effective August 29, 2005; 33 SDR 226, effective July 1, 2007; 40 SDR 39, effective September 9, 2013</w:t>
      </w:r>
      <w:r>
        <w:t>; 45 SDR 31, effective September 10, 2018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36-15-13(10).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36-15-29.1.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2013-09-03T19:26:00Z</dcterms:created>
  <cp:lastModifiedBy>Rhonda Purkapile</cp:lastModifiedBy>
  <dcterms:modified xsi:type="dcterms:W3CDTF">2018-08-30T16:13:33Z</dcterms:modified>
  <cp:revision>3</cp:revision>
</cp:coreProperties>
</file>