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E1E04CF" Type="http://schemas.openxmlformats.org/officeDocument/2006/relationships/officeDocument" Target="/word/document.xml" /><Relationship Id="coreR3E1E04CF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20:42:06:18.  General safety requirements for all schools.</w:t>
      </w:r>
      <w:r>
        <w:t xml:space="preserve"> </w:t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29 SDR 176, effective July 1, 2003; 39 SDR 129, effective January 28, 2013</w:t>
      </w:r>
      <w:r>
        <w:t>; 46 SDR 46, effective October 3,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2013-02-04T17:30:00Z</dcterms:created>
  <cp:lastModifiedBy>Rhonda Purkapile</cp:lastModifiedBy>
  <dcterms:modified xsi:type="dcterms:W3CDTF">2019-09-30T20:54:17Z</dcterms:modified>
  <cp:revision>3</cp:revision>
</cp:coreProperties>
</file>