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20:42:06:19.  School minimum requirements for premises and facilities.</w:t>
      </w:r>
      <w:r>
        <w:t xml:space="preserve"> All licensed schools must meet the following minimum requirements for premises and facilities:</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Space:</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Cosmetology school floor space equal to 3,000 square feet for the first 25 students and an additional 50 square feet for each additional student, which may include a locker room and office space;</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Cosmetology branch school floor space equal to 1,500 square feet of floor space for up to 15 students and an additional 50 square feet for each additional student;</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(c)  Esthetics school or course floor space of at least 900 square feet for the first 10 students and 90 square feet for each additional student, which may include a locker room and office space; and</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(d)  Nail school or course floor space of at least 450 square feet for the first 10 students and 45 square feet for each additional student, which may include a locker room and office space;</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Plumbing: shampoo bowls for cosmetology courses and sinks for all courses that are connected to a central sewer system and a faucet or outlet for hot and cold running water connected to each bowl;</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Restrooms: a minimum of two restrooms with a liquid soap dispenser and disposable towels or an air hand dryer. If the school has personnel or students of both sexes, the school must provide separate restrooms for each sex. The restrooms must be available to the personnel, students, and clients within the structure of the school. Each must contain at least one toilet and one sink with hot and cold running water, connected to a central sewer system;</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Supply dispensary: a complete supply dispensary with a sink located within easy access to the student work area; and</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Provide ventilation: to allow the free flow of air in a room in proportion to the size of the room and the capacity of the room.</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SL 1975, ch 16, § 1; 6 SDR 10, effective August 12, 1979; 12 SDR 151, 12 SDR 155, effective July 1, 1986; 24 SDR 2, effective July 23, 1997; transferred from § 20:42:04:11, 29 SDR 176, effective July 1, 2003; 39 SDR 129, effective January 28, 2013.</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36-15-13(4)(5).</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36-15-13(4).</w:t>
      </w:r>
    </w:p>
    <w:p w:rsidR="00B13F0D" w:rsidRDefault="00B13F0D" w:rsidP="00867CF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B13F0D"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7CF4"/>
    <w:rsid w:val="00086AE4"/>
    <w:rsid w:val="00477B21"/>
    <w:rsid w:val="00867CF4"/>
    <w:rsid w:val="008B09BA"/>
    <w:rsid w:val="009B13CF"/>
    <w:rsid w:val="00B13F0D"/>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330</Words>
  <Characters>1884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2013-02-04T17:31:00Z</dcterms:created>
  <dcterms:modified xsi:type="dcterms:W3CDTF">2013-02-04T17:32:00Z</dcterms:modified>
</cp:coreProperties>
</file>