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24:07:04:01.  Written report required.</w:t>
      </w:r>
      <w:r>
        <w:rPr>
          <w:rFonts w:ascii="Times New Roman" w:hAnsi="Times New Roman"/>
          <w:sz w:val="24"/>
        </w:rPr>
        <w:t xml:space="preserve"> If expulsion is anticipated because of a student's violation of a rule or policy or for insubordination or misconduct, the superintendent must file a sealed written report with the school board no later than the end of the fifth school day following the first day of the student's removal from one or more classes or from school and schedule a hearing before the school board. The report must include the facts of the situation, the action, the reasons for the action and the superintendent's recommendation. The report must remain in the possession of the school board secretary sealed and unavailable for review by individual school board members, until the time set for a hearing.</w:t>
      </w: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At the same time that the report is filed with the school board's secretary, the superintendent must send a copy of the report to the student's parent or to the student if the student is 18 years of age or older or is an emancipated minor.</w:t>
      </w: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261A8E" w:rsidRDefault="00261A8E" w:rsidP="007333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61A8E" w:rsidSect="00261A8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1A8E"/>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304"/>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330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162</Words>
  <Characters>930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2004-07-14T15:00:00Z</dcterms:created>
  <dcterms:modified xsi:type="dcterms:W3CDTF">2004-07-14T15:01:00Z</dcterms:modified>
</cp:coreProperties>
</file>