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24:07:04:05.  Right of appeal.</w:t>
      </w:r>
      <w:r>
        <w:rPr>
          <w:rFonts w:ascii="Times New Roman" w:hAnsi="Times New Roman"/>
          <w:sz w:val="24"/>
        </w:rPr>
        <w:t xml:space="preserve"> The student may appeal an adverse decision by the school board to the circuit court.</w:t>
      </w:r>
    </w:p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179, effective </w:t>
      </w:r>
      <w:smartTag w:uri="urn:schemas-microsoft-com:office:smarttags" w:element="date">
        <w:smartTagPr>
          <w:attr w:name="Year" w:val="1997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1997</w:t>
        </w:r>
      </w:smartTag>
      <w:r>
        <w:rPr>
          <w:rFonts w:ascii="Times New Roman" w:hAnsi="Times New Roman"/>
          <w:sz w:val="24"/>
        </w:rPr>
        <w:t>.</w:t>
      </w:r>
    </w:p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13-1-12.1.</w:t>
      </w:r>
    </w:p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13-32-1, 13-32-4.</w:t>
      </w:r>
    </w:p>
    <w:p w:rsidR="00BE693A" w:rsidRDefault="00BE693A" w:rsidP="00A16F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693A" w:rsidSect="00BE69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6FD6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E693A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6F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36</Words>
  <Characters>207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2004-07-14T15:02:00Z</dcterms:created>
  <dcterms:modified xsi:type="dcterms:W3CDTF">2004-07-14T15:03:00Z</dcterms:modified>
</cp:coreProperties>
</file>